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3426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/>
          <w:bCs/>
          <w:color w:val="auto"/>
          <w:sz w:val="44"/>
          <w:szCs w:val="44"/>
        </w:rPr>
        <w:t>山东公用水利发展集团有限公司</w:t>
      </w:r>
    </w:p>
    <w:p w14:paraId="4BBB19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/>
          <w:bCs/>
          <w:color w:val="auto"/>
          <w:sz w:val="44"/>
          <w:szCs w:val="44"/>
        </w:rPr>
        <w:t>202</w:t>
      </w:r>
      <w:r>
        <w:rPr>
          <w:rFonts w:hint="eastAsia" w:ascii="Times New Roman" w:hAnsi="Times New Roman" w:eastAsia="方正小标宋简体" w:cs="Times New Roman"/>
          <w:b/>
          <w:bCs/>
          <w:color w:val="auto"/>
          <w:sz w:val="44"/>
          <w:szCs w:val="44"/>
          <w:lang w:val="en-US" w:eastAsia="zh-CN"/>
        </w:rPr>
        <w:t>5</w:t>
      </w:r>
      <w:r>
        <w:rPr>
          <w:rFonts w:hint="default" w:ascii="Times New Roman" w:hAnsi="Times New Roman" w:eastAsia="方正小标宋简体" w:cs="Times New Roman"/>
          <w:b/>
          <w:bCs/>
          <w:color w:val="auto"/>
          <w:sz w:val="44"/>
          <w:szCs w:val="44"/>
        </w:rPr>
        <w:t>年</w:t>
      </w:r>
      <w:r>
        <w:rPr>
          <w:rFonts w:hint="eastAsia" w:ascii="Times New Roman" w:hAnsi="Times New Roman" w:eastAsia="方正小标宋简体" w:cs="Times New Roman"/>
          <w:b/>
          <w:bCs/>
          <w:color w:val="auto"/>
          <w:sz w:val="44"/>
          <w:szCs w:val="44"/>
          <w:lang w:val="en-US" w:eastAsia="zh-CN"/>
        </w:rPr>
        <w:t>中期</w:t>
      </w:r>
      <w:r>
        <w:rPr>
          <w:rFonts w:hint="default" w:ascii="Times New Roman" w:hAnsi="Times New Roman" w:eastAsia="方正小标宋简体" w:cs="Times New Roman"/>
          <w:b/>
          <w:bCs/>
          <w:color w:val="auto"/>
          <w:sz w:val="44"/>
          <w:szCs w:val="44"/>
        </w:rPr>
        <w:t>财务等重大信息公开</w:t>
      </w:r>
    </w:p>
    <w:p w14:paraId="45EBC10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kern w:val="2"/>
          <w:sz w:val="32"/>
          <w:szCs w:val="32"/>
          <w:lang w:val="en-US" w:eastAsia="zh-CN" w:bidi="ar-SA"/>
        </w:rPr>
      </w:pPr>
    </w:p>
    <w:p w14:paraId="510C543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简体" w:cs="Times New Roman"/>
          <w:b/>
          <w:bCs/>
          <w:kern w:val="2"/>
          <w:sz w:val="32"/>
          <w:szCs w:val="32"/>
          <w:lang w:val="en-US" w:eastAsia="zh-CN" w:bidi="ar-SA"/>
        </w:rPr>
        <w:t>一、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公司基本情况</w:t>
      </w:r>
    </w:p>
    <w:p w14:paraId="3EF19A02">
      <w:pPr>
        <w:pStyle w:val="5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方正楷体简体" w:hAnsi="方正楷体简体" w:eastAsia="方正楷体简体" w:cs="方正楷体简体"/>
          <w:b/>
          <w:bCs/>
          <w:kern w:val="0"/>
          <w:sz w:val="32"/>
          <w:szCs w:val="32"/>
          <w:u w:val="none"/>
          <w:shd w:val="clear"/>
          <w:lang w:val="en-US" w:eastAsia="zh-CN" w:bidi="zh-CN"/>
        </w:rPr>
      </w:pPr>
      <w:r>
        <w:rPr>
          <w:rFonts w:hint="eastAsia" w:ascii="方正楷体简体" w:hAnsi="方正楷体简体" w:eastAsia="方正楷体简体" w:cs="方正楷体简体"/>
          <w:b/>
          <w:bCs/>
          <w:kern w:val="0"/>
          <w:sz w:val="32"/>
          <w:szCs w:val="32"/>
          <w:u w:val="none"/>
          <w:shd w:val="clear"/>
          <w:lang w:val="en-US" w:eastAsia="zh-CN" w:bidi="zh-CN"/>
        </w:rPr>
        <w:t>（一）基本信息</w:t>
      </w:r>
      <w:bookmarkStart w:id="0" w:name="_GoBack"/>
      <w:bookmarkEnd w:id="0"/>
    </w:p>
    <w:p w14:paraId="4A11E69E">
      <w:pPr>
        <w:pStyle w:val="5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公司名称：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山东公用水利发展集团有限公司</w:t>
      </w:r>
    </w:p>
    <w:p w14:paraId="503B6348">
      <w:pPr>
        <w:pStyle w:val="5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类    型：其他有限责任公司</w:t>
      </w:r>
    </w:p>
    <w:p w14:paraId="2C04F4C3">
      <w:pPr>
        <w:pStyle w:val="5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法定代表人：杨凤军</w:t>
      </w:r>
    </w:p>
    <w:p w14:paraId="4FEC344F">
      <w:pPr>
        <w:pStyle w:val="5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注册资金：壹亿元整</w:t>
      </w:r>
    </w:p>
    <w:p w14:paraId="0F27188D">
      <w:pPr>
        <w:pStyle w:val="5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注册地址：济宁市共</w:t>
      </w:r>
      <w:r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青团路14号健身广场综合楼12-14楼</w:t>
      </w:r>
    </w:p>
    <w:p w14:paraId="082DAEB9">
      <w:pPr>
        <w:pStyle w:val="5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经营范围：许可项目：建设工程设计</w:t>
      </w:r>
      <w:r>
        <w:rPr>
          <w:rFonts w:hint="eastAsia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建设工程勘察</w:t>
      </w:r>
      <w:r>
        <w:rPr>
          <w:rFonts w:hint="eastAsia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建设工程施工</w:t>
      </w:r>
      <w:r>
        <w:rPr>
          <w:rFonts w:hint="eastAsia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测绘服务</w:t>
      </w:r>
      <w:r>
        <w:rPr>
          <w:rFonts w:hint="eastAsia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建筑物拆除作业</w:t>
      </w:r>
      <w:r>
        <w:rPr>
          <w:rFonts w:hint="eastAsia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（</w:t>
      </w:r>
      <w:r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爆破作业除外</w:t>
      </w:r>
      <w:r>
        <w:rPr>
          <w:rFonts w:hint="eastAsia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）</w:t>
      </w:r>
      <w:r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。</w:t>
      </w:r>
      <w:r>
        <w:rPr>
          <w:rFonts w:hint="eastAsia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（</w:t>
      </w:r>
      <w:r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依法须经批准的项目，经相关部门批准后方可开展经营活动，具体经营项目以相关部门批准文件或许可证件为准</w:t>
      </w:r>
      <w:r>
        <w:rPr>
          <w:rFonts w:hint="eastAsia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）。</w:t>
      </w:r>
      <w:r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一般项目</w:t>
      </w:r>
      <w:r>
        <w:rPr>
          <w:rFonts w:hint="eastAsia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：园</w:t>
      </w:r>
      <w:r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林绿化工程施工</w:t>
      </w:r>
      <w:r>
        <w:rPr>
          <w:rFonts w:hint="eastAsia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工程管理服务。</w:t>
      </w:r>
      <w:r>
        <w:rPr>
          <w:rFonts w:hint="eastAsia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（</w:t>
      </w:r>
      <w:r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除依法须经批准的项目外，凭营业执照依法自主开展经营活动</w:t>
      </w:r>
      <w:r>
        <w:rPr>
          <w:rFonts w:hint="eastAsia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）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。</w:t>
      </w:r>
    </w:p>
    <w:p w14:paraId="0AC63883">
      <w:pPr>
        <w:pStyle w:val="5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eastAsia" w:ascii="方正楷体简体" w:hAnsi="方正楷体简体" w:eastAsia="方正楷体简体" w:cs="方正楷体简体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eastAsia" w:ascii="方正楷体简体" w:hAnsi="方正楷体简体" w:eastAsia="方正楷体简体" w:cs="方正楷体简体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（二）公司简介</w:t>
      </w:r>
    </w:p>
    <w:p w14:paraId="33019992">
      <w:pPr>
        <w:pStyle w:val="5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山东公用水利发展集团有限公司（原名济宁市水利工程施工公司），为山东公用控股有限公司权属公司，注册资本10000万元，水发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集团下设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个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权属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子公司。拥有水利水电工程施工总承包壹级及建筑施工、市政公用施工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贰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级资质、工程测绘乙级资质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；权属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子公司拥有水利工程设计乙级资质、工程勘察乙级资质、水利工程咨询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甲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级资质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水利水电工程施工总承包贰级资质、地基基础工程专业承包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贰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级、河湖整治工程专业承包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贰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级资质，水利工程施工监理甲级、房屋建筑工程乙级资质、市政公用工程监理乙级资质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工程质量检测甲级资质。现已发展成以设计为龙头，以施工为主体，多元化经营的国有综合性企业，建立了严格的质量、环境、职业健康安全管理体系，科学的现代化企业管理方略。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highlight w:val="none"/>
          <w:lang w:val="en-US" w:eastAsia="zh-CN"/>
        </w:rPr>
        <w:t>水发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highlight w:val="none"/>
          <w:lang w:val="en-US" w:eastAsia="zh-CN"/>
        </w:rPr>
        <w:t>集团先后承建了多项省内外水利重点工程，国内市场遍及山东、江苏、安徽、新疆、河南、云南、黑龙江、江西、湖北等20余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highlight w:val="none"/>
          <w:lang w:val="en-US" w:eastAsia="zh-CN"/>
        </w:rPr>
        <w:t>个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highlight w:val="none"/>
          <w:lang w:val="en-US" w:eastAsia="zh-CN"/>
        </w:rPr>
        <w:t>省、自治区，所承担完成的项目荣获山东省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highlight w:val="none"/>
          <w:lang w:val="en-US" w:eastAsia="zh-CN"/>
        </w:rPr>
        <w:t>“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highlight w:val="none"/>
          <w:lang w:val="en-US" w:eastAsia="zh-CN"/>
        </w:rPr>
        <w:t>泰山杯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highlight w:val="none"/>
          <w:lang w:val="en-US" w:eastAsia="zh-CN"/>
        </w:rPr>
        <w:t>”“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highlight w:val="none"/>
          <w:lang w:val="en-US" w:eastAsia="zh-CN"/>
        </w:rPr>
        <w:t>鲁水杯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highlight w:val="none"/>
          <w:lang w:val="en-US" w:eastAsia="zh-CN"/>
        </w:rPr>
        <w:t>”“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highlight w:val="none"/>
          <w:lang w:val="en-US" w:eastAsia="zh-CN"/>
        </w:rPr>
        <w:t>优质工程奖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highlight w:val="none"/>
          <w:lang w:val="en-US" w:eastAsia="zh-CN"/>
        </w:rPr>
        <w:t>”“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highlight w:val="none"/>
          <w:lang w:val="en-US" w:eastAsia="zh-CN"/>
        </w:rPr>
        <w:t>治淮文明工地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highlight w:val="none"/>
          <w:lang w:val="en-US" w:eastAsia="zh-CN"/>
        </w:rPr>
        <w:t>”“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highlight w:val="none"/>
          <w:lang w:val="en-US" w:eastAsia="zh-CN"/>
        </w:rPr>
        <w:t>全国水利优秀质量管理小组成果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highlight w:val="none"/>
          <w:lang w:val="en-US" w:eastAsia="zh-CN"/>
        </w:rPr>
        <w:t>（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highlight w:val="none"/>
          <w:lang w:val="en-US" w:eastAsia="zh-CN"/>
        </w:rPr>
        <w:t>QC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highlight w:val="none"/>
          <w:lang w:val="en-US" w:eastAsia="zh-CN"/>
        </w:rPr>
        <w:t>）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highlight w:val="none"/>
          <w:lang w:val="en-US" w:eastAsia="zh-CN"/>
        </w:rPr>
        <w:t>奖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highlight w:val="none"/>
          <w:lang w:val="en-US" w:eastAsia="zh-CN"/>
        </w:rPr>
        <w:t>”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highlight w:val="none"/>
          <w:lang w:val="en-US" w:eastAsia="zh-CN"/>
        </w:rPr>
        <w:t>等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highlight w:val="none"/>
          <w:lang w:val="en-US" w:eastAsia="zh-CN"/>
        </w:rPr>
        <w:t>6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highlight w:val="none"/>
          <w:lang w:val="en-US" w:eastAsia="zh-CN"/>
        </w:rPr>
        <w:t>0余奖项。集团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highlight w:val="none"/>
          <w:lang w:val="en-US" w:eastAsia="zh-CN"/>
        </w:rPr>
        <w:t>公司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highlight w:val="none"/>
          <w:lang w:val="en-US" w:eastAsia="zh-CN"/>
        </w:rPr>
        <w:t>先后被授予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highlight w:val="none"/>
          <w:lang w:val="en-US" w:eastAsia="zh-CN"/>
        </w:rPr>
        <w:t>“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highlight w:val="none"/>
          <w:lang w:val="en-US" w:eastAsia="zh-CN"/>
        </w:rPr>
        <w:t>全国水利建设市场主体AAA级信用企业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highlight w:val="none"/>
          <w:lang w:val="en-US" w:eastAsia="zh-CN"/>
        </w:rPr>
        <w:t>”“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highlight w:val="none"/>
          <w:lang w:val="en-US" w:eastAsia="zh-CN"/>
        </w:rPr>
        <w:t>全国水利安全生产标准化一级单位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highlight w:val="none"/>
          <w:lang w:val="en-US" w:eastAsia="zh-CN"/>
        </w:rPr>
        <w:t>”“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highlight w:val="none"/>
          <w:lang w:val="en-US" w:eastAsia="zh-CN"/>
        </w:rPr>
        <w:t>全国优秀水利企业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highlight w:val="none"/>
          <w:lang w:val="en-US" w:eastAsia="zh-CN"/>
        </w:rPr>
        <w:t>”“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highlight w:val="none"/>
          <w:lang w:val="en-US" w:eastAsia="zh-CN"/>
        </w:rPr>
        <w:t>全省水利工作先进集体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highlight w:val="none"/>
          <w:lang w:val="en-US" w:eastAsia="zh-CN"/>
        </w:rPr>
        <w:t>”“山东省水利系统文明单位”“济宁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highlight w:val="none"/>
          <w:lang w:val="en-US" w:eastAsia="zh-CN"/>
        </w:rPr>
        <w:t>市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highlight w:val="none"/>
          <w:lang w:val="en-US" w:eastAsia="zh-CN"/>
        </w:rPr>
        <w:t>防汛抗旱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highlight w:val="none"/>
          <w:lang w:val="en-US" w:eastAsia="zh-CN"/>
        </w:rPr>
        <w:t>工作先进集体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highlight w:val="none"/>
          <w:lang w:val="en-US" w:eastAsia="zh-CN"/>
        </w:rPr>
        <w:t>”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highlight w:val="none"/>
          <w:lang w:val="en-US" w:eastAsia="zh-CN"/>
        </w:rPr>
        <w:t>等荣誉称号。</w:t>
      </w:r>
    </w:p>
    <w:p w14:paraId="3AA6C1A3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rightChars="0"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color w:val="auto"/>
          <w:spacing w:val="0"/>
          <w:w w:val="100"/>
          <w:position w:val="0"/>
          <w:sz w:val="32"/>
          <w:szCs w:val="32"/>
        </w:rPr>
      </w:pPr>
      <w:r>
        <w:rPr>
          <w:rFonts w:hint="eastAsia" w:ascii="Times New Roman" w:hAnsi="Times New Roman" w:eastAsia="方正黑体简体" w:cs="Times New Roman"/>
          <w:b/>
          <w:bCs/>
          <w:color w:val="auto"/>
          <w:spacing w:val="0"/>
          <w:w w:val="100"/>
          <w:kern w:val="2"/>
          <w:position w:val="0"/>
          <w:sz w:val="32"/>
          <w:szCs w:val="32"/>
          <w:shd w:val="clear" w:fill="auto"/>
          <w:lang w:val="zh-TW" w:eastAsia="zh-TW" w:bidi="zh-TW"/>
        </w:rPr>
        <w:t>二、</w:t>
      </w:r>
      <w:r>
        <w:rPr>
          <w:rFonts w:hint="default" w:ascii="Times New Roman" w:hAnsi="Times New Roman" w:eastAsia="方正黑体简体" w:cs="Times New Roman"/>
          <w:b/>
          <w:bCs/>
          <w:color w:val="auto"/>
          <w:spacing w:val="0"/>
          <w:w w:val="100"/>
          <w:position w:val="0"/>
          <w:sz w:val="32"/>
          <w:szCs w:val="32"/>
        </w:rPr>
        <w:t>主要会计数据和财务指标</w:t>
      </w:r>
    </w:p>
    <w:p w14:paraId="77A5EF21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rightChars="0" w:firstLine="643" w:firstLineChars="200"/>
        <w:jc w:val="center"/>
        <w:textAlignment w:val="auto"/>
        <w:rPr>
          <w:rFonts w:hint="eastAsia" w:ascii="Times New Roman" w:hAnsi="Times New Roman" w:eastAsia="方正黑体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2025年中期主要财务数据</w:t>
      </w:r>
    </w:p>
    <w:p w14:paraId="0F1612CC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Chars="200" w:right="0" w:rightChars="0"/>
        <w:jc w:val="right"/>
        <w:textAlignment w:val="auto"/>
        <w:rPr>
          <w:rFonts w:hint="eastAsia" w:ascii="方正楷体简体" w:hAnsi="方正楷体简体" w:eastAsia="方正楷体简体" w:cs="方正楷体简体"/>
          <w:b/>
          <w:bCs/>
          <w:color w:val="auto"/>
          <w:spacing w:val="0"/>
          <w:w w:val="100"/>
          <w:position w:val="0"/>
          <w:sz w:val="32"/>
          <w:szCs w:val="32"/>
        </w:rPr>
      </w:pPr>
      <w:r>
        <w:rPr>
          <w:rFonts w:hint="eastAsia" w:ascii="方正楷体简体" w:hAnsi="方正楷体简体" w:eastAsia="方正楷体简体" w:cs="方正楷体简体"/>
          <w:b/>
          <w:bCs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单位：人民币万元</w:t>
      </w:r>
    </w:p>
    <w:tbl>
      <w:tblPr>
        <w:tblStyle w:val="3"/>
        <w:tblW w:w="8917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28"/>
        <w:gridCol w:w="2906"/>
        <w:gridCol w:w="2483"/>
      </w:tblGrid>
      <w:tr w14:paraId="27871C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A0F6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项目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52EE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本期金额</w:t>
            </w: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1B96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上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年同期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金额</w:t>
            </w:r>
          </w:p>
        </w:tc>
      </w:tr>
      <w:tr w14:paraId="3D451A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3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BBFA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营业总收入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2F77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sz w:val="32"/>
                <w:szCs w:val="32"/>
                <w:u w:val="none"/>
                <w:lang w:val="en-US" w:eastAsia="zh-CN"/>
              </w:rPr>
              <w:t>25095</w:t>
            </w: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6F11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sz w:val="32"/>
                <w:szCs w:val="32"/>
                <w:u w:val="none"/>
                <w:lang w:val="en-US" w:eastAsia="zh-CN"/>
              </w:rPr>
              <w:t>27613</w:t>
            </w:r>
          </w:p>
        </w:tc>
      </w:tr>
      <w:tr w14:paraId="21DD8B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3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4F68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营业总成本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4C55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sz w:val="32"/>
                <w:szCs w:val="32"/>
                <w:u w:val="none"/>
                <w:lang w:val="en-US" w:eastAsia="zh-CN"/>
              </w:rPr>
              <w:t>22974</w:t>
            </w: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9100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sz w:val="32"/>
                <w:szCs w:val="32"/>
                <w:u w:val="none"/>
                <w:lang w:val="en-US" w:eastAsia="zh-CN"/>
              </w:rPr>
              <w:t>25683</w:t>
            </w:r>
          </w:p>
        </w:tc>
      </w:tr>
      <w:tr w14:paraId="1055C1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3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827D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利润总额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A762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sz w:val="32"/>
                <w:szCs w:val="32"/>
                <w:u w:val="none"/>
                <w:lang w:val="en-US" w:eastAsia="zh-CN"/>
              </w:rPr>
              <w:t>2121</w:t>
            </w: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B393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sz w:val="32"/>
                <w:szCs w:val="32"/>
                <w:u w:val="none"/>
                <w:lang w:val="en-US" w:eastAsia="zh-CN"/>
              </w:rPr>
              <w:t>1930</w:t>
            </w:r>
          </w:p>
        </w:tc>
      </w:tr>
      <w:tr w14:paraId="05290B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3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B81E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资产总额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FE99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sz w:val="32"/>
                <w:szCs w:val="32"/>
                <w:u w:val="none"/>
                <w:lang w:val="en-US" w:eastAsia="zh-CN"/>
              </w:rPr>
              <w:t>126994</w:t>
            </w: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F71B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sz w:val="32"/>
                <w:szCs w:val="32"/>
                <w:u w:val="none"/>
                <w:lang w:val="en-US" w:eastAsia="zh-CN"/>
              </w:rPr>
              <w:t>90333</w:t>
            </w:r>
          </w:p>
        </w:tc>
      </w:tr>
      <w:tr w14:paraId="0098A8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3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4F17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负债总额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A9C7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sz w:val="32"/>
                <w:szCs w:val="32"/>
                <w:u w:val="none"/>
                <w:lang w:val="en-US" w:eastAsia="zh-CN"/>
              </w:rPr>
              <w:t>91595</w:t>
            </w: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20C0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sz w:val="32"/>
                <w:szCs w:val="32"/>
                <w:u w:val="none"/>
                <w:lang w:val="en-US" w:eastAsia="zh-CN"/>
              </w:rPr>
              <w:t>57817</w:t>
            </w:r>
          </w:p>
        </w:tc>
      </w:tr>
      <w:tr w14:paraId="41DA67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3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041B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所有者权益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7CBD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35399</w:t>
            </w: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59EC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32516</w:t>
            </w:r>
          </w:p>
        </w:tc>
      </w:tr>
    </w:tbl>
    <w:p w14:paraId="3CE06146">
      <w:pPr>
        <w:pStyle w:val="5"/>
        <w:keepNext w:val="0"/>
        <w:keepLines w:val="0"/>
        <w:pageBreakBefore w:val="0"/>
        <w:widowControl w:val="0"/>
        <w:shd w:val="clear" w:color="auto" w:fill="auto"/>
        <w:tabs>
          <w:tab w:val="left" w:pos="161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color w:val="auto"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三、</w:t>
      </w:r>
      <w:r>
        <w:rPr>
          <w:rFonts w:hint="default" w:ascii="Times New Roman" w:hAnsi="Times New Roman" w:eastAsia="方正黑体简体" w:cs="Times New Roman"/>
          <w:b/>
          <w:bCs/>
          <w:color w:val="auto"/>
          <w:spacing w:val="0"/>
          <w:w w:val="100"/>
          <w:position w:val="0"/>
          <w:sz w:val="32"/>
          <w:szCs w:val="32"/>
        </w:rPr>
        <w:t>财务预算执行情况</w:t>
      </w:r>
    </w:p>
    <w:p w14:paraId="296237C2">
      <w:pPr>
        <w:pStyle w:val="5"/>
        <w:keepNext w:val="0"/>
        <w:keepLines w:val="0"/>
        <w:pageBreakBefore w:val="0"/>
        <w:widowControl w:val="0"/>
        <w:shd w:val="clear" w:color="auto" w:fill="auto"/>
        <w:tabs>
          <w:tab w:val="left" w:pos="162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202</w:t>
      </w:r>
      <w:r>
        <w:rPr>
          <w:rFonts w:hint="eastAsia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中期，水发集团</w:t>
      </w:r>
      <w:r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实现营业总收入</w:t>
      </w:r>
      <w:r>
        <w:rPr>
          <w:rFonts w:hint="eastAsia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25095</w:t>
      </w:r>
      <w:r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万元，完成年度预算的</w:t>
      </w:r>
      <w:r>
        <w:rPr>
          <w:rFonts w:hint="eastAsia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50.23</w:t>
      </w:r>
      <w:r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%；实现利润总额</w:t>
      </w:r>
      <w:r>
        <w:rPr>
          <w:rFonts w:hint="eastAsia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2121</w:t>
      </w:r>
      <w:r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万元，完成年度预算的</w:t>
      </w:r>
      <w:r>
        <w:rPr>
          <w:rFonts w:hint="eastAsia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61.93</w:t>
      </w:r>
      <w:r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%；实现净利润</w:t>
      </w:r>
      <w:r>
        <w:rPr>
          <w:rFonts w:hint="eastAsia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1707</w:t>
      </w:r>
      <w:r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万元，完成年度预算的</w:t>
      </w:r>
      <w:r>
        <w:rPr>
          <w:rFonts w:hint="eastAsia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62.55</w:t>
      </w:r>
      <w:r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%。</w:t>
      </w:r>
    </w:p>
    <w:p w14:paraId="7D0591C8">
      <w:pPr>
        <w:pStyle w:val="5"/>
        <w:keepNext w:val="0"/>
        <w:keepLines w:val="0"/>
        <w:pageBreakBefore w:val="0"/>
        <w:widowControl w:val="0"/>
        <w:shd w:val="clear" w:color="auto" w:fill="auto"/>
        <w:tabs>
          <w:tab w:val="left" w:pos="162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color w:val="auto"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四、</w:t>
      </w:r>
      <w:r>
        <w:rPr>
          <w:rFonts w:hint="eastAsia" w:ascii="Times New Roman" w:hAnsi="Times New Roman" w:eastAsia="方正黑体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中期</w:t>
      </w:r>
      <w:r>
        <w:rPr>
          <w:rFonts w:hint="default" w:ascii="Times New Roman" w:hAnsi="Times New Roman" w:eastAsia="方正黑体简体" w:cs="Times New Roman"/>
          <w:b/>
          <w:bCs/>
          <w:color w:val="auto"/>
          <w:spacing w:val="0"/>
          <w:w w:val="100"/>
          <w:position w:val="0"/>
          <w:sz w:val="32"/>
          <w:szCs w:val="32"/>
        </w:rPr>
        <w:t>内发生的重大事项及对公司的影响</w:t>
      </w:r>
    </w:p>
    <w:p w14:paraId="2C6E35B4">
      <w:pPr>
        <w:pStyle w:val="5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无</w:t>
      </w:r>
      <w:r>
        <w:rPr>
          <w:rFonts w:hint="eastAsia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。</w:t>
      </w:r>
    </w:p>
    <w:p w14:paraId="4CCC737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color w:val="auto"/>
          <w:sz w:val="32"/>
          <w:szCs w:val="32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RlNTlkMmJlMmUxZDUwYzA1MDA0NzA2NGFhN2RiMWUifQ=="/>
  </w:docVars>
  <w:rsids>
    <w:rsidRoot w:val="00000000"/>
    <w:rsid w:val="01FF0067"/>
    <w:rsid w:val="02C81A82"/>
    <w:rsid w:val="04A844E4"/>
    <w:rsid w:val="086A72CF"/>
    <w:rsid w:val="1C41040D"/>
    <w:rsid w:val="1C437FF5"/>
    <w:rsid w:val="1C9974B0"/>
    <w:rsid w:val="1E497C66"/>
    <w:rsid w:val="232C45A4"/>
    <w:rsid w:val="23FB6F81"/>
    <w:rsid w:val="25587FAA"/>
    <w:rsid w:val="288064E8"/>
    <w:rsid w:val="28AA222B"/>
    <w:rsid w:val="28BC535A"/>
    <w:rsid w:val="29B25EBF"/>
    <w:rsid w:val="2AF92FF6"/>
    <w:rsid w:val="2DB70B5A"/>
    <w:rsid w:val="306868BC"/>
    <w:rsid w:val="35335357"/>
    <w:rsid w:val="392F79E3"/>
    <w:rsid w:val="3BB70A8F"/>
    <w:rsid w:val="3E4C01AE"/>
    <w:rsid w:val="3EB7079F"/>
    <w:rsid w:val="43B17BF4"/>
    <w:rsid w:val="49DD0C7C"/>
    <w:rsid w:val="4BD60781"/>
    <w:rsid w:val="4DE15DF6"/>
    <w:rsid w:val="4F3B2CD9"/>
    <w:rsid w:val="50535B0F"/>
    <w:rsid w:val="54CC5B55"/>
    <w:rsid w:val="58FF3F63"/>
    <w:rsid w:val="5A4A2BDF"/>
    <w:rsid w:val="5A7F1C76"/>
    <w:rsid w:val="60080C61"/>
    <w:rsid w:val="62F763DA"/>
    <w:rsid w:val="64147345"/>
    <w:rsid w:val="646232A1"/>
    <w:rsid w:val="697418A4"/>
    <w:rsid w:val="6B482CC7"/>
    <w:rsid w:val="6B756129"/>
    <w:rsid w:val="6C3147F1"/>
    <w:rsid w:val="7175009B"/>
    <w:rsid w:val="71D7083C"/>
    <w:rsid w:val="761A318D"/>
    <w:rsid w:val="774529F6"/>
    <w:rsid w:val="7A675E3B"/>
    <w:rsid w:val="7CC60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customStyle="1" w:styleId="5">
    <w:name w:val="Body text|1"/>
    <w:basedOn w:val="1"/>
    <w:autoRedefine/>
    <w:qFormat/>
    <w:uiPriority w:val="0"/>
    <w:pPr>
      <w:widowControl w:val="0"/>
      <w:shd w:val="clear" w:color="auto" w:fill="auto"/>
      <w:spacing w:line="420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988</Words>
  <Characters>1083</Characters>
  <Lines>0</Lines>
  <Paragraphs>0</Paragraphs>
  <TotalTime>0</TotalTime>
  <ScaleCrop>false</ScaleCrop>
  <LinksUpToDate>false</LinksUpToDate>
  <CharactersWithSpaces>1087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2023-08-24T04:08:00Z</dcterms:created>
  <dc:creator>联想电脑</dc:creator>
  <cp:lastModifiedBy>Administrator</cp:lastModifiedBy>
  <dcterms:modified xsi:type="dcterms:W3CDTF">2025-08-31T07:34:35Z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859A21A7659C4E34B74442C3E103E5D2_13</vt:lpwstr>
  </property>
  <property fmtid="{D5CDD505-2E9C-101B-9397-08002B2CF9AE}" pid="4" name="KSOTemplateDocerSaveRecord">
    <vt:lpwstr>eyJoZGlkIjoiZjZkN2I4NDU0ZTQ2OWYwZWMxMzFlNjJlZTY3MDVmZTYifQ==</vt:lpwstr>
  </property>
</Properties>
</file>