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122DFA">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兖州聚源热电有限责任公司</w:t>
      </w:r>
    </w:p>
    <w:p w14:paraId="0E7A73F0">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r>
        <w:rPr>
          <w:rFonts w:hint="default" w:ascii="Times New Roman" w:hAnsi="Times New Roman" w:eastAsia="方正小标宋简体" w:cs="Times New Roman"/>
          <w:b/>
          <w:bCs/>
          <w:sz w:val="44"/>
          <w:szCs w:val="44"/>
          <w:lang w:val="en-US"/>
        </w:rPr>
        <w:t>202</w:t>
      </w:r>
      <w:r>
        <w:rPr>
          <w:rFonts w:hint="default" w:ascii="Times New Roman" w:hAnsi="Times New Roman" w:eastAsia="方正小标宋简体" w:cs="Times New Roman"/>
          <w:b/>
          <w:bCs/>
          <w:sz w:val="44"/>
          <w:szCs w:val="44"/>
          <w:lang w:val="en-US" w:eastAsia="zh-CN"/>
        </w:rPr>
        <w:t>5</w:t>
      </w:r>
      <w:r>
        <w:rPr>
          <w:rFonts w:hint="default" w:ascii="Times New Roman" w:hAnsi="Times New Roman" w:eastAsia="方正小标宋简体" w:cs="Times New Roman"/>
          <w:b/>
          <w:bCs/>
          <w:sz w:val="44"/>
          <w:szCs w:val="44"/>
          <w:lang w:val="en-US"/>
        </w:rPr>
        <w:t>年</w:t>
      </w:r>
      <w:r>
        <w:rPr>
          <w:rFonts w:hint="default" w:ascii="Times New Roman" w:hAnsi="Times New Roman" w:eastAsia="方正黑体简体" w:cs="Times New Roman"/>
          <w:b/>
          <w:sz w:val="44"/>
          <w:szCs w:val="44"/>
          <w:lang w:val="en-US" w:eastAsia="zh-CN"/>
        </w:rPr>
        <w:t>中期</w:t>
      </w:r>
      <w:r>
        <w:rPr>
          <w:rFonts w:hint="default" w:ascii="Times New Roman" w:hAnsi="Times New Roman" w:eastAsia="方正小标宋简体" w:cs="Times New Roman"/>
          <w:b/>
          <w:bCs/>
          <w:sz w:val="44"/>
          <w:szCs w:val="44"/>
          <w:lang w:val="en-US"/>
        </w:rPr>
        <w:t>财务等重大信息公开</w:t>
      </w:r>
    </w:p>
    <w:p w14:paraId="0ABE86CD">
      <w:pPr>
        <w:pStyle w:val="3"/>
        <w:keepNext w:val="0"/>
        <w:keepLines w:val="0"/>
        <w:pageBreakBefore w:val="0"/>
        <w:widowControl w:val="0"/>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rPr>
      </w:pPr>
    </w:p>
    <w:p w14:paraId="4A460AF6">
      <w:pPr>
        <w:pStyle w:val="3"/>
        <w:keepNext w:val="0"/>
        <w:keepLines w:val="0"/>
        <w:pageBreakBefore w:val="0"/>
        <w:widowControl/>
        <w:numPr>
          <w:ilvl w:val="0"/>
          <w:numId w:val="1"/>
        </w:numPr>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公司基本情况</w:t>
      </w:r>
    </w:p>
    <w:p w14:paraId="7C1F6AD0">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（一）基本信息</w:t>
      </w:r>
    </w:p>
    <w:p w14:paraId="5C519988">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bookmarkStart w:id="0" w:name="_Hlk170994828"/>
      <w:r>
        <w:rPr>
          <w:rFonts w:hint="default" w:ascii="Times New Roman" w:hAnsi="Times New Roman" w:eastAsia="方正仿宋简体" w:cs="Times New Roman"/>
          <w:b/>
          <w:bCs/>
          <w:color w:val="000000"/>
          <w:sz w:val="32"/>
          <w:szCs w:val="32"/>
          <w:lang w:eastAsia="zh-CN"/>
        </w:rPr>
        <w:t>1.</w:t>
      </w:r>
      <w:bookmarkEnd w:id="0"/>
      <w:r>
        <w:rPr>
          <w:rFonts w:hint="default" w:ascii="Times New Roman" w:hAnsi="Times New Roman" w:eastAsia="方正仿宋简体" w:cs="Times New Roman"/>
          <w:b/>
          <w:bCs/>
          <w:color w:val="000000"/>
          <w:sz w:val="32"/>
          <w:szCs w:val="32"/>
        </w:rPr>
        <w:t>名    称：兖州聚源热电有限责任公司</w:t>
      </w:r>
    </w:p>
    <w:p w14:paraId="417BECDE">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lang w:val="en-US"/>
        </w:rPr>
      </w:pPr>
      <w:bookmarkStart w:id="1" w:name="_Hlk170994843"/>
      <w:r>
        <w:rPr>
          <w:rFonts w:hint="default" w:ascii="Times New Roman" w:hAnsi="Times New Roman" w:eastAsia="方正仿宋简体" w:cs="Times New Roman"/>
          <w:b/>
          <w:bCs/>
          <w:color w:val="000000"/>
          <w:sz w:val="32"/>
          <w:szCs w:val="32"/>
          <w:lang w:eastAsia="zh-CN"/>
        </w:rPr>
        <w:t>2.</w:t>
      </w:r>
      <w:r>
        <w:rPr>
          <w:rFonts w:hint="default" w:ascii="Times New Roman" w:hAnsi="Times New Roman" w:eastAsia="方正仿宋简体" w:cs="Times New Roman"/>
          <w:b/>
          <w:bCs/>
          <w:color w:val="000000"/>
          <w:sz w:val="32"/>
          <w:szCs w:val="32"/>
        </w:rPr>
        <w:t>企业类型：</w:t>
      </w:r>
      <w:r>
        <w:rPr>
          <w:rFonts w:hint="default" w:ascii="Times New Roman" w:hAnsi="Times New Roman" w:eastAsia="方正仿宋简体" w:cs="Times New Roman"/>
          <w:b/>
          <w:bCs/>
          <w:color w:val="000000"/>
          <w:sz w:val="32"/>
          <w:szCs w:val="32"/>
          <w:lang w:val="en-US"/>
        </w:rPr>
        <w:t>有限责任公司</w:t>
      </w:r>
    </w:p>
    <w:bookmarkEnd w:id="1"/>
    <w:p w14:paraId="4A3AE128">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3.</w:t>
      </w:r>
      <w:r>
        <w:rPr>
          <w:rFonts w:hint="default" w:ascii="Times New Roman" w:hAnsi="Times New Roman" w:eastAsia="方正仿宋简体" w:cs="Times New Roman"/>
          <w:b/>
          <w:bCs/>
          <w:color w:val="000000"/>
          <w:sz w:val="32"/>
          <w:szCs w:val="32"/>
        </w:rPr>
        <w:t>成立日期：2001年</w:t>
      </w:r>
    </w:p>
    <w:p w14:paraId="4FDC9392">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4.</w:t>
      </w:r>
      <w:r>
        <w:rPr>
          <w:rFonts w:hint="default" w:ascii="Times New Roman" w:hAnsi="Times New Roman" w:eastAsia="方正仿宋简体" w:cs="Times New Roman"/>
          <w:b/>
          <w:bCs/>
          <w:color w:val="000000"/>
          <w:sz w:val="32"/>
          <w:szCs w:val="32"/>
        </w:rPr>
        <w:t xml:space="preserve">法定代表人：张志宇 </w:t>
      </w:r>
    </w:p>
    <w:p w14:paraId="5C163249">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5.</w:t>
      </w:r>
      <w:r>
        <w:rPr>
          <w:rFonts w:hint="default" w:ascii="Times New Roman" w:hAnsi="Times New Roman" w:eastAsia="方正仿宋简体" w:cs="Times New Roman"/>
          <w:b/>
          <w:bCs/>
          <w:color w:val="000000"/>
          <w:sz w:val="32"/>
          <w:szCs w:val="32"/>
        </w:rPr>
        <w:t>注册地址：山东济宁市兖州区经济开发区创业路1号</w:t>
      </w:r>
    </w:p>
    <w:p w14:paraId="5A940A16">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color w:val="000000"/>
          <w:sz w:val="32"/>
          <w:szCs w:val="32"/>
        </w:rPr>
      </w:pPr>
      <w:r>
        <w:rPr>
          <w:rFonts w:hint="default" w:ascii="Times New Roman" w:hAnsi="Times New Roman" w:eastAsia="方正仿宋简体" w:cs="Times New Roman"/>
          <w:b/>
          <w:bCs/>
          <w:color w:val="000000"/>
          <w:sz w:val="32"/>
          <w:szCs w:val="32"/>
          <w:lang w:eastAsia="zh-CN"/>
        </w:rPr>
        <w:t>6.</w:t>
      </w:r>
      <w:r>
        <w:rPr>
          <w:rFonts w:hint="default" w:ascii="Times New Roman" w:hAnsi="Times New Roman" w:eastAsia="方正仿宋简体" w:cs="Times New Roman"/>
          <w:b/>
          <w:bCs/>
          <w:color w:val="000000"/>
          <w:sz w:val="32"/>
          <w:szCs w:val="32"/>
        </w:rPr>
        <w:t>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14:paraId="7C53D996">
      <w:pPr>
        <w:pStyle w:val="3"/>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14:paraId="37CF4967">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兖州聚源热电有限责任公司位于兖州工业园区，327国道北临，占地约218.7亩，以实施城市集中供热为主的国有控股公共事业性企业，是兖州新城区、兖州工业园区和精细化工园区唯一公用热源厂和城市基础建设配套性企业。</w:t>
      </w:r>
    </w:p>
    <w:p w14:paraId="263FBC47">
      <w:pPr>
        <w:keepNext w:val="0"/>
        <w:keepLines w:val="0"/>
        <w:pageBreakBefore w:val="0"/>
        <w:widowControl/>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注册资本金6200万元，山东公用热电集团有限公司控股100%。法人代表张志宇。</w:t>
      </w:r>
    </w:p>
    <w:p w14:paraId="7BAD606B">
      <w:pPr>
        <w:pStyle w:val="3"/>
        <w:keepNext w:val="0"/>
        <w:keepLines w:val="0"/>
        <w:pageBreakBefore w:val="0"/>
        <w:widowControl/>
        <w:numPr>
          <w:ilvl w:val="0"/>
          <w:numId w:val="1"/>
        </w:numPr>
        <w:kinsoku/>
        <w:wordWrap/>
        <w:overflowPunct w:val="0"/>
        <w:topLinePunct/>
        <w:autoSpaceDE/>
        <w:autoSpaceDN/>
        <w:bidi w:val="0"/>
        <w:adjustRightInd/>
        <w:snapToGrid/>
        <w:spacing w:line="600" w:lineRule="atLeast"/>
        <w:ind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主要会计数据和财务指标</w:t>
      </w:r>
    </w:p>
    <w:p w14:paraId="446EF2EF">
      <w:pPr>
        <w:pStyle w:val="3"/>
        <w:keepNext w:val="0"/>
        <w:keepLines w:val="0"/>
        <w:pageBreakBefore w:val="0"/>
        <w:widowControl/>
        <w:numPr>
          <w:ilvl w:val="0"/>
          <w:numId w:val="0"/>
        </w:numPr>
        <w:kinsoku/>
        <w:wordWrap/>
        <w:overflowPunct w:val="0"/>
        <w:topLinePunct/>
        <w:autoSpaceDE/>
        <w:autoSpaceDN/>
        <w:bidi w:val="0"/>
        <w:adjustRightInd/>
        <w:snapToGrid/>
        <w:spacing w:line="600" w:lineRule="atLeast"/>
        <w:jc w:val="center"/>
        <w:textAlignment w:val="auto"/>
        <w:rPr>
          <w:rFonts w:hint="default" w:ascii="Times New Roman" w:hAnsi="Times New Roman" w:eastAsia="方正黑体简体" w:cs="Times New Roman"/>
          <w:b/>
          <w:bCs/>
          <w:lang w:val="en-US"/>
        </w:rPr>
      </w:pP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bCs/>
          <w:lang w:val="en-US"/>
        </w:rPr>
        <w:t>主要财务数据</w:t>
      </w:r>
    </w:p>
    <w:p w14:paraId="6F6AA24C">
      <w:pPr>
        <w:pStyle w:val="3"/>
        <w:spacing w:line="600" w:lineRule="exact"/>
        <w:ind w:firstLine="6023" w:firstLineChars="2000"/>
        <w:jc w:val="both"/>
        <w:rPr>
          <w:rFonts w:hint="default" w:ascii="Times New Roman" w:hAnsi="Times New Roman" w:eastAsia="方正楷体简体" w:cs="Times New Roman"/>
          <w:b/>
          <w:bCs/>
          <w:sz w:val="30"/>
          <w:szCs w:val="30"/>
          <w:lang w:val="en-US"/>
        </w:rPr>
      </w:pPr>
      <w:r>
        <w:rPr>
          <w:rFonts w:hint="default" w:ascii="Times New Roman" w:hAnsi="Times New Roman" w:eastAsia="方正楷体简体" w:cs="Times New Roman"/>
          <w:b/>
          <w:bCs/>
          <w:sz w:val="30"/>
          <w:szCs w:val="30"/>
          <w:lang w:val="en-US"/>
        </w:rPr>
        <w:t>单位：人民币万元</w:t>
      </w:r>
    </w:p>
    <w:tbl>
      <w:tblPr>
        <w:tblStyle w:val="7"/>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72"/>
        <w:gridCol w:w="3907"/>
      </w:tblGrid>
      <w:tr w14:paraId="1FC5F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6" w:hRule="atLeast"/>
          <w:jc w:val="center"/>
        </w:trPr>
        <w:tc>
          <w:tcPr>
            <w:tcW w:w="4472" w:type="dxa"/>
          </w:tcPr>
          <w:p w14:paraId="68E137E4">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项  目</w:t>
            </w:r>
          </w:p>
        </w:tc>
        <w:tc>
          <w:tcPr>
            <w:tcW w:w="3907" w:type="dxa"/>
          </w:tcPr>
          <w:p w14:paraId="232A1074">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rPr>
              <w:t>本期金额</w:t>
            </w:r>
          </w:p>
        </w:tc>
      </w:tr>
      <w:tr w14:paraId="5B184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08C130A6">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营业总收入</w:t>
            </w:r>
          </w:p>
        </w:tc>
        <w:tc>
          <w:tcPr>
            <w:tcW w:w="3907" w:type="dxa"/>
          </w:tcPr>
          <w:p w14:paraId="7673FF5B">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4335.17</w:t>
            </w:r>
          </w:p>
        </w:tc>
      </w:tr>
      <w:tr w14:paraId="06C5A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4DB3C56E">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营业总成本</w:t>
            </w:r>
          </w:p>
        </w:tc>
        <w:tc>
          <w:tcPr>
            <w:tcW w:w="3907" w:type="dxa"/>
          </w:tcPr>
          <w:p w14:paraId="04A9F26B">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6115.08</w:t>
            </w:r>
          </w:p>
        </w:tc>
      </w:tr>
      <w:tr w14:paraId="46689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673539E2">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利润总额</w:t>
            </w:r>
          </w:p>
        </w:tc>
        <w:tc>
          <w:tcPr>
            <w:tcW w:w="3907" w:type="dxa"/>
          </w:tcPr>
          <w:p w14:paraId="7FFA7507">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-1509.19</w:t>
            </w:r>
          </w:p>
        </w:tc>
      </w:tr>
      <w:tr w14:paraId="34A3E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472" w:type="dxa"/>
          </w:tcPr>
          <w:p w14:paraId="3665AF70">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净利润</w:t>
            </w:r>
          </w:p>
        </w:tc>
        <w:tc>
          <w:tcPr>
            <w:tcW w:w="3907" w:type="dxa"/>
          </w:tcPr>
          <w:p w14:paraId="760839F2">
            <w:pPr>
              <w:pStyle w:val="3"/>
              <w:spacing w:line="600" w:lineRule="exact"/>
              <w:jc w:val="center"/>
              <w:rPr>
                <w:rFonts w:hint="default" w:ascii="Times New Roman" w:hAnsi="Times New Roman" w:eastAsia="方正黑体简体" w:cs="Times New Roman"/>
                <w:b/>
                <w:bCs/>
                <w:lang w:val="en-US"/>
              </w:rPr>
            </w:pPr>
            <w:r>
              <w:rPr>
                <w:rFonts w:hint="default" w:ascii="Times New Roman" w:hAnsi="Times New Roman" w:eastAsia="方正仿宋简体" w:cs="Times New Roman"/>
                <w:b/>
                <w:bCs/>
                <w:lang w:val="en-US"/>
              </w:rPr>
              <w:t>-1509.19</w:t>
            </w:r>
          </w:p>
        </w:tc>
      </w:tr>
      <w:tr w14:paraId="5C495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472" w:type="dxa"/>
          </w:tcPr>
          <w:p w14:paraId="0EBEA67F">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color w:val="000000"/>
                <w:lang w:val="en-US" w:bidi="ar-SA"/>
              </w:rPr>
              <w:t>资产总额</w:t>
            </w:r>
          </w:p>
        </w:tc>
        <w:tc>
          <w:tcPr>
            <w:tcW w:w="3907" w:type="dxa"/>
          </w:tcPr>
          <w:p w14:paraId="43061B12">
            <w:pPr>
              <w:pStyle w:val="3"/>
              <w:spacing w:line="600" w:lineRule="exact"/>
              <w:jc w:val="center"/>
              <w:rPr>
                <w:rFonts w:hint="default" w:ascii="Times New Roman" w:hAnsi="Times New Roman" w:eastAsia="方正仿宋简体" w:cs="Times New Roman"/>
                <w:b/>
                <w:bCs/>
                <w:lang w:val="en-US"/>
              </w:rPr>
            </w:pPr>
            <w:r>
              <w:rPr>
                <w:rFonts w:hint="default" w:ascii="Times New Roman" w:hAnsi="Times New Roman" w:eastAsia="方正仿宋简体" w:cs="Times New Roman"/>
                <w:b/>
                <w:bCs/>
                <w:lang w:val="en-US"/>
              </w:rPr>
              <w:t>9577.55</w:t>
            </w:r>
          </w:p>
        </w:tc>
      </w:tr>
      <w:tr w14:paraId="08A45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4472" w:type="dxa"/>
          </w:tcPr>
          <w:p w14:paraId="05E462AC">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负债总额</w:t>
            </w:r>
          </w:p>
        </w:tc>
        <w:tc>
          <w:tcPr>
            <w:tcW w:w="3907" w:type="dxa"/>
          </w:tcPr>
          <w:p w14:paraId="25AA12EA">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18896.15</w:t>
            </w:r>
          </w:p>
        </w:tc>
      </w:tr>
      <w:tr w14:paraId="7B2A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4472" w:type="dxa"/>
          </w:tcPr>
          <w:p w14:paraId="23CB0C8E">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所有者权益</w:t>
            </w:r>
          </w:p>
        </w:tc>
        <w:tc>
          <w:tcPr>
            <w:tcW w:w="3907" w:type="dxa"/>
          </w:tcPr>
          <w:p w14:paraId="3FAD6C91">
            <w:pPr>
              <w:pStyle w:val="3"/>
              <w:spacing w:line="600" w:lineRule="exact"/>
              <w:jc w:val="center"/>
              <w:rPr>
                <w:rFonts w:hint="default" w:ascii="Times New Roman" w:hAnsi="Times New Roman" w:eastAsia="方正仿宋简体" w:cs="Times New Roman"/>
                <w:b/>
                <w:bCs/>
                <w:color w:val="000000"/>
                <w:lang w:val="en-US" w:bidi="ar-SA"/>
              </w:rPr>
            </w:pPr>
            <w:r>
              <w:rPr>
                <w:rFonts w:hint="default" w:ascii="Times New Roman" w:hAnsi="Times New Roman" w:eastAsia="方正仿宋简体" w:cs="Times New Roman"/>
                <w:b/>
                <w:bCs/>
                <w:color w:val="000000"/>
                <w:lang w:val="en-US" w:bidi="ar-SA"/>
              </w:rPr>
              <w:t>-9318.6</w:t>
            </w:r>
          </w:p>
        </w:tc>
      </w:tr>
    </w:tbl>
    <w:p w14:paraId="34156F0F">
      <w:pPr>
        <w:spacing w:line="200" w:lineRule="exact"/>
        <w:ind w:left="641"/>
        <w:rPr>
          <w:rFonts w:hint="default" w:ascii="Times New Roman" w:hAnsi="Times New Roman" w:eastAsia="方正黑体简体" w:cs="Times New Roman"/>
          <w:b/>
          <w:sz w:val="32"/>
          <w:szCs w:val="32"/>
          <w:lang w:val="en-US"/>
        </w:rPr>
      </w:pPr>
    </w:p>
    <w:p w14:paraId="3552591C">
      <w:pPr>
        <w:spacing w:line="580" w:lineRule="exact"/>
        <w:ind w:left="64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三、</w:t>
      </w:r>
      <w:r>
        <w:rPr>
          <w:rFonts w:hint="default" w:ascii="Times New Roman" w:hAnsi="Times New Roman" w:eastAsia="方正黑体简体" w:cs="Times New Roman"/>
          <w:b/>
          <w:sz w:val="32"/>
          <w:szCs w:val="32"/>
        </w:rPr>
        <w:t>财务预算执行情况</w:t>
      </w:r>
      <w:r>
        <w:rPr>
          <w:rFonts w:hint="default" w:ascii="Times New Roman" w:hAnsi="Times New Roman" w:eastAsia="方正黑体简体" w:cs="Times New Roman"/>
          <w:b/>
          <w:sz w:val="32"/>
          <w:szCs w:val="32"/>
          <w:lang w:val="en-US"/>
        </w:rPr>
        <w:t xml:space="preserve">   </w:t>
      </w:r>
    </w:p>
    <w:p w14:paraId="333145AA">
      <w:pPr>
        <w:spacing w:line="580" w:lineRule="exact"/>
        <w:ind w:firstLine="643" w:firstLineChars="200"/>
        <w:rPr>
          <w:rFonts w:hint="default" w:ascii="Times New Roman" w:hAnsi="Times New Roman" w:eastAsia="方正仿宋简体" w:cs="Times New Roman"/>
          <w:b/>
          <w:bCs/>
          <w:color w:val="000000"/>
          <w:sz w:val="32"/>
          <w:szCs w:val="32"/>
          <w:lang w:val="en-US" w:bidi="ar-SA"/>
        </w:rPr>
      </w:pPr>
      <w:r>
        <w:rPr>
          <w:rFonts w:hint="default" w:ascii="Times New Roman" w:hAnsi="Times New Roman" w:eastAsia="方正仿宋简体" w:cs="Times New Roman"/>
          <w:b/>
          <w:bCs/>
          <w:color w:val="000000"/>
          <w:sz w:val="32"/>
          <w:szCs w:val="32"/>
          <w:lang w:val="en-US" w:bidi="ar-SA"/>
        </w:rPr>
        <w:t>预算营业总收入9250万元，实际完成</w:t>
      </w:r>
      <w:bookmarkStart w:id="2" w:name="_GoBack"/>
      <w:bookmarkEnd w:id="2"/>
      <w:r>
        <w:rPr>
          <w:rFonts w:hint="default" w:ascii="Times New Roman" w:hAnsi="Times New Roman" w:eastAsia="方正仿宋简体" w:cs="Times New Roman"/>
          <w:b/>
          <w:bCs/>
          <w:color w:val="000000"/>
          <w:sz w:val="32"/>
          <w:szCs w:val="32"/>
          <w:lang w:val="en-US" w:bidi="ar-SA"/>
        </w:rPr>
        <w:t>率46.87%；预算利润总额-1660万元，实际完成率109.09%。</w:t>
      </w:r>
    </w:p>
    <w:p w14:paraId="044A50F8">
      <w:pPr>
        <w:spacing w:line="580" w:lineRule="exact"/>
        <w:ind w:firstLine="643" w:firstLineChars="200"/>
        <w:rPr>
          <w:rFonts w:hint="default" w:ascii="Times New Roman" w:hAnsi="Times New Roman" w:eastAsia="方正黑体简体" w:cs="Times New Roman"/>
          <w:b/>
          <w:sz w:val="32"/>
          <w:szCs w:val="32"/>
          <w:lang w:val="en-US"/>
        </w:rPr>
      </w:pPr>
      <w:r>
        <w:rPr>
          <w:rFonts w:hint="default" w:ascii="Times New Roman" w:hAnsi="Times New Roman" w:eastAsia="方正黑体简体" w:cs="Times New Roman"/>
          <w:b/>
          <w:sz w:val="32"/>
          <w:szCs w:val="32"/>
          <w:lang w:val="en-US"/>
        </w:rPr>
        <w:t>四、</w:t>
      </w:r>
      <w:r>
        <w:rPr>
          <w:rFonts w:hint="default" w:ascii="Times New Roman" w:hAnsi="Times New Roman" w:eastAsia="方正小标宋简体" w:cs="Times New Roman"/>
          <w:b/>
          <w:bCs/>
          <w:sz w:val="32"/>
          <w:szCs w:val="32"/>
          <w:lang w:val="en-US"/>
        </w:rPr>
        <w:t>202</w:t>
      </w:r>
      <w:r>
        <w:rPr>
          <w:rFonts w:hint="default" w:ascii="Times New Roman" w:hAnsi="Times New Roman" w:eastAsia="方正小标宋简体" w:cs="Times New Roman"/>
          <w:b/>
          <w:bCs/>
          <w:sz w:val="32"/>
          <w:szCs w:val="32"/>
          <w:lang w:val="en-US" w:eastAsia="zh-CN"/>
        </w:rPr>
        <w:t>5</w:t>
      </w:r>
      <w:r>
        <w:rPr>
          <w:rFonts w:hint="default" w:ascii="Times New Roman" w:hAnsi="Times New Roman" w:eastAsia="方正小标宋简体" w:cs="Times New Roman"/>
          <w:b/>
          <w:bCs/>
          <w:sz w:val="32"/>
          <w:szCs w:val="32"/>
          <w:lang w:val="en-US"/>
        </w:rPr>
        <w:t>年</w:t>
      </w:r>
      <w:r>
        <w:rPr>
          <w:rFonts w:hint="default" w:ascii="Times New Roman" w:hAnsi="Times New Roman" w:eastAsia="方正黑体简体" w:cs="Times New Roman"/>
          <w:b/>
          <w:sz w:val="32"/>
          <w:szCs w:val="32"/>
          <w:lang w:val="en-US" w:eastAsia="zh-CN"/>
        </w:rPr>
        <w:t>中期</w:t>
      </w:r>
      <w:r>
        <w:rPr>
          <w:rFonts w:hint="default" w:ascii="Times New Roman" w:hAnsi="Times New Roman" w:eastAsia="方正黑体简体" w:cs="Times New Roman"/>
          <w:b/>
          <w:sz w:val="32"/>
          <w:szCs w:val="32"/>
          <w:lang w:val="en-US"/>
        </w:rPr>
        <w:t>重大事项及对企业的影响</w:t>
      </w:r>
    </w:p>
    <w:p w14:paraId="1870F92A">
      <w:pPr>
        <w:spacing w:line="580" w:lineRule="exact"/>
        <w:ind w:firstLine="643" w:firstLineChars="200"/>
        <w:rPr>
          <w:rFonts w:hint="eastAsia" w:ascii="Times New Roman" w:hAnsi="Times New Roman" w:eastAsia="方正仿宋简体" w:cs="Times New Roman"/>
          <w:b/>
          <w:bCs/>
          <w:color w:val="000000"/>
          <w:sz w:val="32"/>
          <w:szCs w:val="32"/>
          <w:lang w:val="en-US" w:eastAsia="zh-CN" w:bidi="ar-SA"/>
        </w:rPr>
      </w:pPr>
      <w:r>
        <w:rPr>
          <w:rFonts w:hint="default" w:ascii="Times New Roman" w:hAnsi="Times New Roman" w:eastAsia="方正仿宋简体" w:cs="Times New Roman"/>
          <w:b/>
          <w:bCs/>
          <w:color w:val="000000"/>
          <w:sz w:val="32"/>
          <w:szCs w:val="32"/>
          <w:lang w:val="en-US" w:bidi="ar-SA"/>
        </w:rPr>
        <w:t>无</w:t>
      </w:r>
      <w:r>
        <w:rPr>
          <w:rFonts w:hint="eastAsia" w:ascii="Times New Roman" w:hAnsi="Times New Roman" w:eastAsia="方正仿宋简体" w:cs="Times New Roman"/>
          <w:b/>
          <w:bCs/>
          <w:color w:val="000000"/>
          <w:sz w:val="32"/>
          <w:szCs w:val="32"/>
          <w:lang w:val="en-US" w:eastAsia="zh-CN" w:bidi="ar-SA"/>
        </w:rPr>
        <w:t>。</w:t>
      </w:r>
    </w:p>
    <w:sectPr>
      <w:footerReference r:id="rId3" w:type="default"/>
      <w:pgSz w:w="11906" w:h="16838"/>
      <w:pgMar w:top="2098" w:right="1474" w:bottom="1701"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embedRegular r:id="rId1" w:fontKey="{53DFE668-5D67-4ED4-811E-0FEA462BB57D}"/>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6C02D">
    <w:pPr>
      <w:pStyle w:val="4"/>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B995B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1B995B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4ZDNmNWYzOTY2MThjOTRkYzJjNTM4Zjk0NDdkMzAifQ=="/>
  </w:docVars>
  <w:rsids>
    <w:rsidRoot w:val="00AB01EA"/>
    <w:rsid w:val="000129E6"/>
    <w:rsid w:val="00015A87"/>
    <w:rsid w:val="000168AA"/>
    <w:rsid w:val="000A0544"/>
    <w:rsid w:val="000D614C"/>
    <w:rsid w:val="00151E71"/>
    <w:rsid w:val="00155562"/>
    <w:rsid w:val="0017509D"/>
    <w:rsid w:val="001B431A"/>
    <w:rsid w:val="002135C1"/>
    <w:rsid w:val="00271CDE"/>
    <w:rsid w:val="00274942"/>
    <w:rsid w:val="002B255F"/>
    <w:rsid w:val="002D6CC0"/>
    <w:rsid w:val="002E2F2C"/>
    <w:rsid w:val="00300466"/>
    <w:rsid w:val="003152D1"/>
    <w:rsid w:val="00333F66"/>
    <w:rsid w:val="00342F36"/>
    <w:rsid w:val="003510F1"/>
    <w:rsid w:val="00384B44"/>
    <w:rsid w:val="003B315B"/>
    <w:rsid w:val="003D760C"/>
    <w:rsid w:val="004055A1"/>
    <w:rsid w:val="0047217A"/>
    <w:rsid w:val="00472A88"/>
    <w:rsid w:val="0047447E"/>
    <w:rsid w:val="00474979"/>
    <w:rsid w:val="00480385"/>
    <w:rsid w:val="004C751A"/>
    <w:rsid w:val="004D1F6D"/>
    <w:rsid w:val="004E75F8"/>
    <w:rsid w:val="0050064C"/>
    <w:rsid w:val="005571EB"/>
    <w:rsid w:val="005600CB"/>
    <w:rsid w:val="00570C85"/>
    <w:rsid w:val="0057497C"/>
    <w:rsid w:val="0057695E"/>
    <w:rsid w:val="005A15E0"/>
    <w:rsid w:val="005B10EB"/>
    <w:rsid w:val="005B71BD"/>
    <w:rsid w:val="00643713"/>
    <w:rsid w:val="006448B5"/>
    <w:rsid w:val="00667382"/>
    <w:rsid w:val="006928AD"/>
    <w:rsid w:val="00693743"/>
    <w:rsid w:val="006B7A98"/>
    <w:rsid w:val="00702DC4"/>
    <w:rsid w:val="00710A95"/>
    <w:rsid w:val="007209DF"/>
    <w:rsid w:val="00734DD5"/>
    <w:rsid w:val="00735356"/>
    <w:rsid w:val="00750A95"/>
    <w:rsid w:val="00795E37"/>
    <w:rsid w:val="007A0DD0"/>
    <w:rsid w:val="007A5A03"/>
    <w:rsid w:val="007A7033"/>
    <w:rsid w:val="007E6DD0"/>
    <w:rsid w:val="008001A9"/>
    <w:rsid w:val="00806BE9"/>
    <w:rsid w:val="0082333D"/>
    <w:rsid w:val="0084329B"/>
    <w:rsid w:val="008A74B2"/>
    <w:rsid w:val="008D33C1"/>
    <w:rsid w:val="008F345A"/>
    <w:rsid w:val="008F6261"/>
    <w:rsid w:val="0091505B"/>
    <w:rsid w:val="009C4B22"/>
    <w:rsid w:val="00A24713"/>
    <w:rsid w:val="00A26E02"/>
    <w:rsid w:val="00AA3DFD"/>
    <w:rsid w:val="00AB01EA"/>
    <w:rsid w:val="00AB3601"/>
    <w:rsid w:val="00AC59A2"/>
    <w:rsid w:val="00AD0180"/>
    <w:rsid w:val="00AE7C83"/>
    <w:rsid w:val="00B078E2"/>
    <w:rsid w:val="00B15769"/>
    <w:rsid w:val="00B46331"/>
    <w:rsid w:val="00B860E7"/>
    <w:rsid w:val="00BA25C7"/>
    <w:rsid w:val="00BD36F7"/>
    <w:rsid w:val="00BD7A30"/>
    <w:rsid w:val="00C21EB3"/>
    <w:rsid w:val="00C27E86"/>
    <w:rsid w:val="00C62BC0"/>
    <w:rsid w:val="00C82BDE"/>
    <w:rsid w:val="00CA3314"/>
    <w:rsid w:val="00CA6D0A"/>
    <w:rsid w:val="00CB4B86"/>
    <w:rsid w:val="00CC02D6"/>
    <w:rsid w:val="00CC7327"/>
    <w:rsid w:val="00D02505"/>
    <w:rsid w:val="00D74B7C"/>
    <w:rsid w:val="00DD5062"/>
    <w:rsid w:val="00DE29BB"/>
    <w:rsid w:val="00E05E9E"/>
    <w:rsid w:val="00E55D7D"/>
    <w:rsid w:val="00E75FDE"/>
    <w:rsid w:val="00E82D5D"/>
    <w:rsid w:val="00E97D11"/>
    <w:rsid w:val="00EA367A"/>
    <w:rsid w:val="00ED5A55"/>
    <w:rsid w:val="00EF0709"/>
    <w:rsid w:val="00EF29D3"/>
    <w:rsid w:val="00F21D3D"/>
    <w:rsid w:val="00F50061"/>
    <w:rsid w:val="00F75FEA"/>
    <w:rsid w:val="00FD3A34"/>
    <w:rsid w:val="0139010F"/>
    <w:rsid w:val="01A967CD"/>
    <w:rsid w:val="0C1300BA"/>
    <w:rsid w:val="11D529E3"/>
    <w:rsid w:val="17303DFB"/>
    <w:rsid w:val="1C9B179E"/>
    <w:rsid w:val="1E6F7481"/>
    <w:rsid w:val="208262A6"/>
    <w:rsid w:val="2E9539DE"/>
    <w:rsid w:val="32DA0AFB"/>
    <w:rsid w:val="359C4116"/>
    <w:rsid w:val="365668DF"/>
    <w:rsid w:val="3ADE08F5"/>
    <w:rsid w:val="3EB218E1"/>
    <w:rsid w:val="40BD03D8"/>
    <w:rsid w:val="46625A9C"/>
    <w:rsid w:val="4BE9147C"/>
    <w:rsid w:val="4D663EEA"/>
    <w:rsid w:val="5C6530FB"/>
    <w:rsid w:val="5D195C77"/>
    <w:rsid w:val="5E5E5DDC"/>
    <w:rsid w:val="67C52FC9"/>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505</Words>
  <Characters>598</Characters>
  <Lines>32</Lines>
  <Paragraphs>38</Paragraphs>
  <TotalTime>1</TotalTime>
  <ScaleCrop>false</ScaleCrop>
  <LinksUpToDate>false</LinksUpToDate>
  <CharactersWithSpaces>608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2024-10-22T07:25:00Z</dcterms:created>
  <dc:creator>lenovo</dc:creator>
  <cp:lastModifiedBy>Administrator</cp:lastModifiedBy>
  <cp:lastPrinted>2022-08-29T09:18:00Z</cp:lastPrinted>
  <dcterms:modified xsi:type="dcterms:W3CDTF">2025-08-31T03:15:59Z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BF6EABCB6D12423B8A6CAA463AC634BC_13</vt:lpwstr>
  </property>
  <property fmtid="{D5CDD505-2E9C-101B-9397-08002B2CF9AE}" pid="4" name="KSOTemplateDocerSaveRecord">
    <vt:lpwstr>eyJoZGlkIjoiZjZkN2I4NDU0ZTQ2OWYwZWMxMzFlNjJlZTY3MDVmZTYifQ==</vt:lpwstr>
  </property>
</Properties>
</file>