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3F7580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济宁开源热力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有限公司</w:t>
      </w:r>
    </w:p>
    <w:p w14:paraId="3797FFD7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default" w:ascii="Times New Roman" w:hAnsi="Times New Roman" w:eastAsia="方正黑体简体" w:cs="Times New Roman"/>
          <w:b/>
          <w:sz w:val="44"/>
          <w:szCs w:val="44"/>
          <w:lang w:val="en-US" w:eastAsia="zh-CN"/>
        </w:rPr>
        <w:t>中期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  <w:t>财务等重大信息公开</w:t>
      </w:r>
    </w:p>
    <w:p w14:paraId="0E4705E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</w:pPr>
    </w:p>
    <w:p w14:paraId="76186859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  <w:t>一、</w:t>
      </w:r>
      <w:r>
        <w:rPr>
          <w:rFonts w:hint="default" w:ascii="Times New Roman" w:hAnsi="Times New Roman" w:eastAsia="方正黑体简体" w:cs="Times New Roman"/>
          <w:b/>
          <w:bCs/>
          <w:lang w:val="en-US"/>
        </w:rPr>
        <w:t>公司基本情况</w:t>
      </w:r>
    </w:p>
    <w:p w14:paraId="06AB82C2">
      <w:pPr>
        <w:pStyle w:val="5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/>
        </w:rPr>
      </w:pPr>
      <w:r>
        <w:rPr>
          <w:rFonts w:hint="default" w:ascii="Times New Roman" w:hAnsi="Times New Roman" w:eastAsia="方正楷体简体" w:cs="Times New Roman"/>
          <w:b/>
          <w:bCs/>
          <w:lang w:val="en-US"/>
        </w:rPr>
        <w:t>（一）基本信息</w:t>
      </w:r>
    </w:p>
    <w:p w14:paraId="2C19083D">
      <w:pPr>
        <w:pStyle w:val="5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1.名    称：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济宁开源热力有限公司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 xml:space="preserve"> </w:t>
      </w:r>
    </w:p>
    <w:p w14:paraId="7F5F8170">
      <w:pPr>
        <w:pStyle w:val="5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2.企业类型：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有限责任公司</w:t>
      </w:r>
    </w:p>
    <w:p w14:paraId="4471D00B">
      <w:pPr>
        <w:pStyle w:val="5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3.成立日期：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2021年10月21日</w:t>
      </w:r>
    </w:p>
    <w:p w14:paraId="19BC8CF1">
      <w:pPr>
        <w:pStyle w:val="5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4.法定代表人：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郭向阳</w:t>
      </w:r>
    </w:p>
    <w:p w14:paraId="01CE3C2D">
      <w:pPr>
        <w:pStyle w:val="5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lang w:val="en-US"/>
        </w:rPr>
        <w:t>5.注册地址：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山东省济宁市高新区接庄街道办事处蓼河智能产业园（智能路2号）</w:t>
      </w:r>
    </w:p>
    <w:p w14:paraId="171F0C22">
      <w:pPr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napToGrid w:val="0"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 w:bidi="zh-CN"/>
        </w:rPr>
        <w:t>6.经营范围：</w:t>
      </w: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  <w:t>热力生产和供应；供暖服务。（依法须经批准的项目，经相关部门批准后方可开展经营活动，具体经营项目以相关部门批准文件或许可证件为准）一般项目：技术服务、技术开发、技术咨询、技术交流、技术转让、技术推广；特种设备销售；合同能源管理；工程和技术研究和试验发展；余热余压余气利用技术研发；新兴能源技术研发；供冷服务；非居住房地产租赁</w:t>
      </w: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  <w:lang w:val="en-US" w:eastAsia="zh-CN"/>
        </w:rPr>
        <w:t>普通机械设备安装服务；电器设备修理；五金产品批发；五金产品零售；通用设备修理；机械设备销售。</w:t>
      </w: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 w:val="32"/>
          <w:szCs w:val="32"/>
        </w:rPr>
        <w:t>（除依法须经批准的项目外，凭营业执照依法自主开展经营活动）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 xml:space="preserve"> </w:t>
      </w:r>
    </w:p>
    <w:p w14:paraId="4AED51E6">
      <w:pPr>
        <w:pStyle w:val="5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/>
        </w:rPr>
      </w:pPr>
      <w:r>
        <w:rPr>
          <w:rFonts w:hint="default" w:ascii="Times New Roman" w:hAnsi="Times New Roman" w:eastAsia="方正楷体简体" w:cs="Times New Roman"/>
          <w:b/>
          <w:bCs/>
          <w:lang w:val="en-US"/>
        </w:rPr>
        <w:t>（二）公司简介</w:t>
      </w:r>
    </w:p>
    <w:p w14:paraId="59C576CB">
      <w:pPr>
        <w:pStyle w:val="5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楷体简体" w:cs="Times New Roman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济宁开源热力有限公司是一家集城市供热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新能源发展、供热管网、换热站和室内供暖系统工程的设计、施工于一体的现代企业。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始终坚持“快速发展是前提，稳健发展是目标，持续发展是宗旨”的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经营理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念，坚持“和衷共济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求实创新、慎思笃行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臻于至善”的企业精神，在充分发挥区位资源及供热服务优势的同时，进一步提高供热能力，扩大供热规模，创新供热模式，规范供热管理，增强企业核心竞争力，为用户提供更便捷、更高效、更贴心的供热服务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以矢志不渝的为民初心，践行国企担当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以科学高效的供热保障，善解民生之忧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；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以深化改革的笃定决心，共绘发展蓝图，为济宁市高质量发展交出温暖“民生答卷”，绘就发展“幸福底色”。</w:t>
      </w:r>
    </w:p>
    <w:p w14:paraId="2CD30F71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 w:val="0"/>
        <w:topLinePunct/>
        <w:autoSpaceDE/>
        <w:autoSpaceDN/>
        <w:bidi w:val="0"/>
        <w:adjustRightInd/>
        <w:spacing w:line="600" w:lineRule="exact"/>
        <w:ind w:firstLine="643" w:firstLineChars="200"/>
        <w:jc w:val="both"/>
        <w:textAlignment w:val="auto"/>
        <w:rPr>
          <w:rFonts w:hint="default" w:ascii="Times New Roman" w:hAnsi="Times New Roman" w:eastAsia="方正黑体简体" w:cs="Times New Roman"/>
          <w:b/>
          <w:bCs/>
          <w:lang w:val="en-US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 w:bidi="zh-CN"/>
        </w:rPr>
        <w:t>二、</w:t>
      </w:r>
      <w:r>
        <w:rPr>
          <w:rFonts w:hint="default" w:ascii="Times New Roman" w:hAnsi="Times New Roman" w:eastAsia="方正黑体简体" w:cs="Times New Roman"/>
          <w:b/>
          <w:bCs/>
          <w:lang w:val="en-US"/>
        </w:rPr>
        <w:t>主要会计数据和财务指标</w:t>
      </w:r>
    </w:p>
    <w:p w14:paraId="211279DF">
      <w:pPr>
        <w:pStyle w:val="5"/>
        <w:keepNext w:val="0"/>
        <w:keepLines w:val="0"/>
        <w:pageBreakBefore w:val="0"/>
        <w:widowControl/>
        <w:kinsoku/>
        <w:wordWrap/>
        <w:overflowPunct w:val="0"/>
        <w:topLinePunct/>
        <w:autoSpaceDE/>
        <w:autoSpaceDN/>
        <w:bidi w:val="0"/>
        <w:adjustRightInd/>
        <w:spacing w:line="600" w:lineRule="exact"/>
        <w:jc w:val="center"/>
        <w:textAlignment w:val="auto"/>
        <w:rPr>
          <w:rFonts w:hint="default" w:ascii="Times New Roman" w:hAnsi="Times New Roman" w:eastAsia="方正黑体简体" w:cs="Times New Roman"/>
          <w:b/>
          <w:bCs/>
          <w:highlight w:val="none"/>
          <w:lang w:val="en-US"/>
        </w:rPr>
      </w:pPr>
      <w:r>
        <w:rPr>
          <w:rFonts w:hint="default" w:ascii="Times New Roman" w:hAnsi="Times New Roman" w:eastAsia="方正小标宋简体" w:cs="Times New Roman"/>
          <w:b/>
          <w:bCs/>
          <w:sz w:val="32"/>
          <w:szCs w:val="32"/>
          <w:lang w:val="en-US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/>
          <w:bCs/>
          <w:sz w:val="32"/>
          <w:szCs w:val="32"/>
          <w:lang w:val="en-US"/>
        </w:rPr>
        <w:t>年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 w:eastAsia="zh-CN"/>
        </w:rPr>
        <w:t>中期</w:t>
      </w:r>
      <w:r>
        <w:rPr>
          <w:rFonts w:hint="default" w:ascii="Times New Roman" w:hAnsi="Times New Roman" w:eastAsia="方正黑体简体" w:cs="Times New Roman"/>
          <w:b/>
          <w:bCs/>
          <w:highlight w:val="none"/>
          <w:lang w:val="en-US"/>
        </w:rPr>
        <w:t>主要财务数据</w:t>
      </w:r>
    </w:p>
    <w:p w14:paraId="6E86C97D">
      <w:pPr>
        <w:pStyle w:val="5"/>
        <w:spacing w:line="600" w:lineRule="exact"/>
        <w:ind w:firstLine="6325" w:firstLineChars="2100"/>
        <w:jc w:val="both"/>
        <w:rPr>
          <w:rFonts w:hint="default" w:ascii="Times New Roman" w:hAnsi="Times New Roman" w:eastAsia="方正楷体简体" w:cs="Times New Roman"/>
          <w:b/>
          <w:bCs/>
          <w:sz w:val="30"/>
          <w:szCs w:val="30"/>
          <w:highlight w:val="none"/>
          <w:lang w:val="en-US"/>
        </w:rPr>
      </w:pPr>
      <w:r>
        <w:rPr>
          <w:rFonts w:hint="default" w:ascii="Times New Roman" w:hAnsi="Times New Roman" w:eastAsia="方正楷体简体" w:cs="Times New Roman"/>
          <w:b/>
          <w:bCs/>
          <w:sz w:val="30"/>
          <w:szCs w:val="30"/>
          <w:highlight w:val="none"/>
          <w:lang w:val="en-US"/>
        </w:rPr>
        <w:t>单位：人民币万元</w:t>
      </w:r>
    </w:p>
    <w:tbl>
      <w:tblPr>
        <w:tblStyle w:val="10"/>
        <w:tblW w:w="87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6"/>
        <w:gridCol w:w="4093"/>
      </w:tblGrid>
      <w:tr w14:paraId="6BDE0D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4686" w:type="dxa"/>
          </w:tcPr>
          <w:p w14:paraId="68425700"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/>
              </w:rPr>
              <w:t>项  目</w:t>
            </w:r>
          </w:p>
        </w:tc>
        <w:tc>
          <w:tcPr>
            <w:tcW w:w="4093" w:type="dxa"/>
          </w:tcPr>
          <w:p w14:paraId="6D4BE6DB"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/>
              </w:rPr>
              <w:t>本期金额</w:t>
            </w:r>
          </w:p>
        </w:tc>
      </w:tr>
      <w:tr w14:paraId="3A3471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4686" w:type="dxa"/>
          </w:tcPr>
          <w:p w14:paraId="1402D648"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营业总收入</w:t>
            </w:r>
          </w:p>
        </w:tc>
        <w:tc>
          <w:tcPr>
            <w:tcW w:w="4093" w:type="dxa"/>
          </w:tcPr>
          <w:p w14:paraId="06566F12"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163.57</w:t>
            </w:r>
          </w:p>
        </w:tc>
      </w:tr>
      <w:tr w14:paraId="5E97F4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4686" w:type="dxa"/>
          </w:tcPr>
          <w:p w14:paraId="62B1DD7A"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营业总成本</w:t>
            </w:r>
          </w:p>
        </w:tc>
        <w:tc>
          <w:tcPr>
            <w:tcW w:w="4093" w:type="dxa"/>
          </w:tcPr>
          <w:p w14:paraId="7FF0D941"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160.23</w:t>
            </w:r>
          </w:p>
        </w:tc>
      </w:tr>
      <w:tr w14:paraId="290F74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4686" w:type="dxa"/>
          </w:tcPr>
          <w:p w14:paraId="587FBEFC"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  <w:t>利润总额</w:t>
            </w:r>
          </w:p>
        </w:tc>
        <w:tc>
          <w:tcPr>
            <w:tcW w:w="4093" w:type="dxa"/>
          </w:tcPr>
          <w:p w14:paraId="24428766"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3.34</w:t>
            </w:r>
          </w:p>
        </w:tc>
      </w:tr>
      <w:tr w14:paraId="3AA21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4686" w:type="dxa"/>
          </w:tcPr>
          <w:p w14:paraId="221D80D7"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净利润</w:t>
            </w:r>
          </w:p>
        </w:tc>
        <w:tc>
          <w:tcPr>
            <w:tcW w:w="4093" w:type="dxa"/>
          </w:tcPr>
          <w:p w14:paraId="28146C55"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黑体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3.34</w:t>
            </w:r>
          </w:p>
        </w:tc>
      </w:tr>
      <w:tr w14:paraId="76681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4686" w:type="dxa"/>
          </w:tcPr>
          <w:p w14:paraId="1D98C9A8"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资产总额</w:t>
            </w:r>
          </w:p>
        </w:tc>
        <w:tc>
          <w:tcPr>
            <w:tcW w:w="4093" w:type="dxa"/>
          </w:tcPr>
          <w:p w14:paraId="181E95D9"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highlight w:val="none"/>
                <w:lang w:val="en-US" w:eastAsia="zh-CN"/>
              </w:rPr>
              <w:t>509.46</w:t>
            </w:r>
          </w:p>
        </w:tc>
      </w:tr>
      <w:tr w14:paraId="60763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4686" w:type="dxa"/>
          </w:tcPr>
          <w:p w14:paraId="7EAC15F9"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负债总额</w:t>
            </w:r>
          </w:p>
        </w:tc>
        <w:tc>
          <w:tcPr>
            <w:tcW w:w="4093" w:type="dxa"/>
          </w:tcPr>
          <w:p w14:paraId="1EE3FACA"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216.71</w:t>
            </w:r>
          </w:p>
        </w:tc>
      </w:tr>
      <w:tr w14:paraId="583AE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4686" w:type="dxa"/>
          </w:tcPr>
          <w:p w14:paraId="557A2FF5"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bidi="ar-SA"/>
              </w:rPr>
              <w:t>所有者权益</w:t>
            </w:r>
          </w:p>
        </w:tc>
        <w:tc>
          <w:tcPr>
            <w:tcW w:w="4093" w:type="dxa"/>
          </w:tcPr>
          <w:p w14:paraId="1ED13D36">
            <w:pPr>
              <w:pStyle w:val="5"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highlight w:val="none"/>
                <w:lang w:val="en-US" w:eastAsia="zh-CN" w:bidi="ar-SA"/>
              </w:rPr>
              <w:t>292.75</w:t>
            </w:r>
          </w:p>
        </w:tc>
      </w:tr>
    </w:tbl>
    <w:p w14:paraId="61B3E31D">
      <w:pPr>
        <w:spacing w:line="200" w:lineRule="exact"/>
        <w:ind w:left="641"/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  <w:lang w:val="en-US"/>
        </w:rPr>
      </w:pPr>
    </w:p>
    <w:p w14:paraId="1ADBB175">
      <w:pPr>
        <w:spacing w:line="580" w:lineRule="exact"/>
        <w:ind w:firstLine="643" w:firstLineChars="200"/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  <w:lang w:val="en-US"/>
        </w:rPr>
      </w:pPr>
      <w:r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  <w:lang w:val="en-US"/>
        </w:rPr>
        <w:t>三、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</w:rPr>
        <w:t>财务预算执行情况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highlight w:val="none"/>
          <w:lang w:val="en-US"/>
        </w:rPr>
        <w:t xml:space="preserve">   </w:t>
      </w:r>
    </w:p>
    <w:p w14:paraId="015DB7A9">
      <w:pPr>
        <w:spacing w:line="58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预算营业总收入206.00万元，实际完成率79.40%；预算利润总额5万元，实际完成率66.8%。</w:t>
      </w:r>
    </w:p>
    <w:p w14:paraId="4879FD10">
      <w:pPr>
        <w:spacing w:line="580" w:lineRule="exact"/>
        <w:ind w:firstLine="643" w:firstLineChars="200"/>
        <w:rPr>
          <w:rFonts w:hint="default" w:ascii="Times New Roman" w:hAnsi="Times New Roman" w:eastAsia="方正黑体简体" w:cs="Times New Roman"/>
          <w:b/>
          <w:sz w:val="32"/>
          <w:szCs w:val="32"/>
          <w:lang w:val="en-US"/>
        </w:rPr>
      </w:pP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/>
        </w:rPr>
        <w:t>四、</w:t>
      </w:r>
      <w:r>
        <w:rPr>
          <w:rFonts w:hint="default" w:ascii="Times New Roman" w:hAnsi="Times New Roman" w:eastAsia="方正小标宋简体" w:cs="Times New Roman"/>
          <w:b/>
          <w:bCs/>
          <w:sz w:val="32"/>
          <w:szCs w:val="32"/>
          <w:lang w:val="en-US"/>
        </w:rPr>
        <w:t>202</w:t>
      </w:r>
      <w:r>
        <w:rPr>
          <w:rFonts w:hint="default" w:ascii="Times New Roman" w:hAnsi="Times New Roman" w:eastAsia="方正小标宋简体" w:cs="Times New Roman"/>
          <w:b/>
          <w:bCs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/>
          <w:bCs/>
          <w:sz w:val="32"/>
          <w:szCs w:val="32"/>
          <w:lang w:val="en-US"/>
        </w:rPr>
        <w:t>年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 w:eastAsia="zh-CN"/>
        </w:rPr>
        <w:t>中期</w:t>
      </w:r>
      <w:r>
        <w:rPr>
          <w:rFonts w:hint="default" w:ascii="Times New Roman" w:hAnsi="Times New Roman" w:eastAsia="方正黑体简体" w:cs="Times New Roman"/>
          <w:b/>
          <w:sz w:val="32"/>
          <w:szCs w:val="32"/>
          <w:lang w:val="en-US"/>
        </w:rPr>
        <w:t>内重大事项及对企业的影响</w:t>
      </w:r>
    </w:p>
    <w:p w14:paraId="1F9DECC9">
      <w:pPr>
        <w:spacing w:line="580" w:lineRule="exact"/>
        <w:ind w:firstLine="643" w:firstLineChars="200"/>
        <w:rPr>
          <w:rFonts w:hint="default" w:ascii="Times New Roman" w:hAnsi="Times New Roman" w:cs="Times New Roman"/>
          <w:highlight w:val="yellow"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无</w:t>
      </w:r>
      <w:r>
        <w:rPr>
          <w:rFonts w:hint="eastAsia" w:ascii="Times New Roman" w:hAnsi="Times New Roman" w:eastAsia="方正仿宋简体" w:cs="Times New Roman"/>
          <w:b/>
          <w:bCs/>
          <w:color w:val="000000"/>
          <w:sz w:val="32"/>
          <w:szCs w:val="32"/>
          <w:highlight w:val="none"/>
          <w:lang w:val="en-US" w:eastAsia="zh-CN" w:bidi="ar-SA"/>
        </w:rPr>
        <w:t>。</w:t>
      </w:r>
    </w:p>
    <w:p w14:paraId="46196840">
      <w:pPr>
        <w:ind w:firstLine="4498" w:firstLineChars="1400"/>
        <w:jc w:val="both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/>
        </w:rPr>
      </w:pPr>
      <w:bookmarkStart w:id="0" w:name="_GoBack"/>
      <w:bookmarkEnd w:id="0"/>
    </w:p>
    <w:p w14:paraId="51D45256">
      <w:pPr>
        <w:widowControl/>
        <w:autoSpaceDE/>
        <w:autoSpaceDN/>
        <w:jc w:val="center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/>
        </w:rPr>
      </w:pPr>
    </w:p>
    <w:sectPr>
      <w:footerReference r:id="rId3" w:type="default"/>
      <w:pgSz w:w="11906" w:h="16838"/>
      <w:pgMar w:top="209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B48D42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727654A">
                          <w:pPr>
                            <w:pStyle w:val="6"/>
                            <w:rPr>
                              <w:rFonts w:hint="default" w:ascii="Times New Roman" w:hAnsi="Times New Roman" w:eastAsia="宋体" w:cs="Times New Roman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727654A">
                    <w:pPr>
                      <w:pStyle w:val="6"/>
                      <w:rPr>
                        <w:rFonts w:hint="default" w:ascii="Times New Roman" w:hAnsi="Times New Roman" w:eastAsia="宋体" w:cs="Times New Roman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hkZjI2MDRlYTUxM2RjNTM5NDk0Nzk5MDBmNmI0OWMifQ=="/>
  </w:docVars>
  <w:rsids>
    <w:rsidRoot w:val="00AB01EA"/>
    <w:rsid w:val="00015A87"/>
    <w:rsid w:val="000168AA"/>
    <w:rsid w:val="000A0544"/>
    <w:rsid w:val="000D614C"/>
    <w:rsid w:val="00151E71"/>
    <w:rsid w:val="002135C1"/>
    <w:rsid w:val="00271CDE"/>
    <w:rsid w:val="00300466"/>
    <w:rsid w:val="003152D1"/>
    <w:rsid w:val="00333F66"/>
    <w:rsid w:val="003510F1"/>
    <w:rsid w:val="00384B44"/>
    <w:rsid w:val="004055A1"/>
    <w:rsid w:val="00474979"/>
    <w:rsid w:val="00480385"/>
    <w:rsid w:val="004D1F6D"/>
    <w:rsid w:val="0050064C"/>
    <w:rsid w:val="005571EB"/>
    <w:rsid w:val="005600CB"/>
    <w:rsid w:val="005A15E0"/>
    <w:rsid w:val="006448B5"/>
    <w:rsid w:val="00667382"/>
    <w:rsid w:val="006928AD"/>
    <w:rsid w:val="00693743"/>
    <w:rsid w:val="006B7A98"/>
    <w:rsid w:val="00702DC4"/>
    <w:rsid w:val="00710A95"/>
    <w:rsid w:val="007209DF"/>
    <w:rsid w:val="007A0DD0"/>
    <w:rsid w:val="007A5A03"/>
    <w:rsid w:val="007A7033"/>
    <w:rsid w:val="007E6DD0"/>
    <w:rsid w:val="008001A9"/>
    <w:rsid w:val="00806BE9"/>
    <w:rsid w:val="0084329B"/>
    <w:rsid w:val="008A74B2"/>
    <w:rsid w:val="008D33C1"/>
    <w:rsid w:val="008F345A"/>
    <w:rsid w:val="0091505B"/>
    <w:rsid w:val="009C4B22"/>
    <w:rsid w:val="00A24713"/>
    <w:rsid w:val="00A26E02"/>
    <w:rsid w:val="00AA3DFD"/>
    <w:rsid w:val="00AB01EA"/>
    <w:rsid w:val="00AB3601"/>
    <w:rsid w:val="00AC59A2"/>
    <w:rsid w:val="00AD0180"/>
    <w:rsid w:val="00AE7C83"/>
    <w:rsid w:val="00B078E2"/>
    <w:rsid w:val="00B15769"/>
    <w:rsid w:val="00B860E7"/>
    <w:rsid w:val="00BA25C7"/>
    <w:rsid w:val="00BD36F7"/>
    <w:rsid w:val="00BD7A30"/>
    <w:rsid w:val="00C27E86"/>
    <w:rsid w:val="00C82BDE"/>
    <w:rsid w:val="00CA3314"/>
    <w:rsid w:val="00CB4B86"/>
    <w:rsid w:val="00CC02D6"/>
    <w:rsid w:val="00CC7327"/>
    <w:rsid w:val="00D74B7C"/>
    <w:rsid w:val="00DD5062"/>
    <w:rsid w:val="00DE29BB"/>
    <w:rsid w:val="00E05E9E"/>
    <w:rsid w:val="00E82D5D"/>
    <w:rsid w:val="00E97D11"/>
    <w:rsid w:val="00EA367A"/>
    <w:rsid w:val="00EF29D3"/>
    <w:rsid w:val="00F21D3D"/>
    <w:rsid w:val="00F50061"/>
    <w:rsid w:val="00F75FEA"/>
    <w:rsid w:val="02362B1F"/>
    <w:rsid w:val="091A00F0"/>
    <w:rsid w:val="0C1300BA"/>
    <w:rsid w:val="0F1756A9"/>
    <w:rsid w:val="11D529E3"/>
    <w:rsid w:val="17303DFB"/>
    <w:rsid w:val="208262A6"/>
    <w:rsid w:val="288912CB"/>
    <w:rsid w:val="2E9539DE"/>
    <w:rsid w:val="32DA0AFB"/>
    <w:rsid w:val="359C4116"/>
    <w:rsid w:val="35A6466B"/>
    <w:rsid w:val="365668DF"/>
    <w:rsid w:val="3ADE08F5"/>
    <w:rsid w:val="3EB218E1"/>
    <w:rsid w:val="40BD03D8"/>
    <w:rsid w:val="41CC3C80"/>
    <w:rsid w:val="46625A9C"/>
    <w:rsid w:val="48A00CF2"/>
    <w:rsid w:val="4D1C24C9"/>
    <w:rsid w:val="4D663EEA"/>
    <w:rsid w:val="5B453DED"/>
    <w:rsid w:val="5D195C77"/>
    <w:rsid w:val="5E5E5DDC"/>
    <w:rsid w:val="655C62F9"/>
    <w:rsid w:val="67C52FC9"/>
    <w:rsid w:val="68401FD0"/>
    <w:rsid w:val="6D316FBD"/>
    <w:rsid w:val="6E602F6B"/>
    <w:rsid w:val="6F4A2487"/>
    <w:rsid w:val="70565CC3"/>
    <w:rsid w:val="73A033E2"/>
    <w:rsid w:val="73FE1D6C"/>
    <w:rsid w:val="75937E90"/>
    <w:rsid w:val="76323B4E"/>
    <w:rsid w:val="7D034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5">
    <w:name w:val="Body Text"/>
    <w:basedOn w:val="1"/>
    <w:link w:val="13"/>
    <w:qFormat/>
    <w:uiPriority w:val="1"/>
    <w:rPr>
      <w:sz w:val="32"/>
      <w:szCs w:val="32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table" w:styleId="10">
    <w:name w:val="Table Grid"/>
    <w:basedOn w:val="9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正文文本 字符"/>
    <w:basedOn w:val="11"/>
    <w:link w:val="5"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customStyle="1" w:styleId="14">
    <w:name w:val="Table Paragraph"/>
    <w:basedOn w:val="1"/>
    <w:qFormat/>
    <w:uiPriority w:val="1"/>
    <w:pPr>
      <w:spacing w:before="96"/>
      <w:jc w:val="right"/>
    </w:pPr>
    <w:rPr>
      <w:rFonts w:ascii="仿宋" w:hAnsi="仿宋" w:eastAsia="仿宋" w:cs="仿宋"/>
    </w:rPr>
  </w:style>
  <w:style w:type="character" w:customStyle="1" w:styleId="15">
    <w:name w:val="页眉 字符"/>
    <w:basedOn w:val="11"/>
    <w:link w:val="7"/>
    <w:qFormat/>
    <w:uiPriority w:val="99"/>
    <w:rPr>
      <w:rFonts w:ascii="宋体" w:hAnsi="宋体" w:cs="宋体"/>
      <w:sz w:val="18"/>
      <w:szCs w:val="18"/>
      <w:lang w:val="zh-CN" w:bidi="zh-CN"/>
    </w:rPr>
  </w:style>
  <w:style w:type="character" w:customStyle="1" w:styleId="16">
    <w:name w:val="页脚 字符"/>
    <w:basedOn w:val="11"/>
    <w:link w:val="6"/>
    <w:qFormat/>
    <w:uiPriority w:val="99"/>
    <w:rPr>
      <w:rFonts w:ascii="宋体" w:hAnsi="宋体" w:cs="宋体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802</Words>
  <Characters>867</Characters>
  <Lines>11</Lines>
  <Paragraphs>3</Paragraphs>
  <TotalTime>1</TotalTime>
  <ScaleCrop>false</ScaleCrop>
  <LinksUpToDate>false</LinksUpToDate>
  <CharactersWithSpaces>878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2023-10-26T09:09:00Z</dcterms:created>
  <dc:creator>lenovo</dc:creator>
  <cp:lastModifiedBy>Administrator</cp:lastModifiedBy>
  <cp:lastPrinted>2022-08-29T09:18:00Z</cp:lastPrinted>
  <dcterms:modified xsi:type="dcterms:W3CDTF">2025-08-31T03:05:01Z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BF6EABCB6D12423B8A6CAA463AC634BC_13</vt:lpwstr>
  </property>
  <property fmtid="{D5CDD505-2E9C-101B-9397-08002B2CF9AE}" pid="4" name="KSOTemplateDocerSaveRecord">
    <vt:lpwstr>eyJoZGlkIjoiZjZkN2I4NDU0ZTQ2OWYwZWMxMzFlNjJlZTY3MDVmZTYifQ==</vt:lpwstr>
  </property>
</Properties>
</file>