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471B5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鱼台公用热力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2CBBD16D"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250CEA5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4544FA79"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4B6119C9">
      <w:pPr>
        <w:pStyle w:val="3"/>
        <w:spacing w:line="580" w:lineRule="exact"/>
        <w:ind w:firstLine="643" w:firstLineChars="200"/>
        <w:jc w:val="both"/>
        <w:rPr>
          <w:rFonts w:hint="default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2B56E436"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鱼台公用热力有限公司</w:t>
      </w:r>
    </w:p>
    <w:p w14:paraId="79D8BEA0"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79B1C121"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2013年3月6日</w:t>
      </w:r>
    </w:p>
    <w:p w14:paraId="2C856C22"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申富军</w:t>
      </w:r>
    </w:p>
    <w:p w14:paraId="7DC6D8FC">
      <w:pPr>
        <w:spacing w:line="600" w:lineRule="exact"/>
        <w:ind w:firstLine="723" w:firstLineChars="200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sz w:val="36"/>
          <w:szCs w:val="36"/>
          <w:lang w:val="en-US"/>
        </w:rPr>
        <w:t>5.注册地址：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山东省济宁市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鱼台县经济开发区工业路西、云长路南（五星泵业西邻）</w:t>
      </w:r>
    </w:p>
    <w:p w14:paraId="339E77A5">
      <w:pPr>
        <w:spacing w:line="600" w:lineRule="exact"/>
        <w:ind w:firstLine="72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6"/>
          <w:szCs w:val="36"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许可项目：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热力生产和供应；建设工程设计；建设工程施工。（依法须经批准的项目，经相关部门批准后方可开展经营活动，具体经营项目以相关部门批准文件或许可证件为准)。一般项目：住宅水电安装维护服务；供冷服务；余热发电关键技术研发；节能管理服务；太阳能发电技术服务；生物质能技术服务；新兴能源技术研发；技术服务、技术开发、技术咨询、技术交流、技术转让、技术推广；土地使用权租赁；租赁服务（不含许可类租赁服务）。(除依法须经批准的项目外，凭营业执照依法自主开展经营活动)。</w:t>
      </w:r>
    </w:p>
    <w:p w14:paraId="61D1AB51">
      <w:pPr>
        <w:pStyle w:val="3"/>
        <w:numPr>
          <w:ilvl w:val="0"/>
          <w:numId w:val="2"/>
        </w:numPr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 w:bidi="zh-CN"/>
        </w:rPr>
      </w:pPr>
      <w:bookmarkStart w:id="0" w:name="_GoBack"/>
      <w:bookmarkEnd w:id="0"/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 w:bidi="zh-CN"/>
        </w:rPr>
        <w:t>公司简介</w:t>
      </w:r>
    </w:p>
    <w:p w14:paraId="047DF7AB">
      <w:pPr>
        <w:pStyle w:val="3"/>
        <w:numPr>
          <w:ilvl w:val="0"/>
          <w:numId w:val="0"/>
        </w:numPr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鱼台公用热力有限公司2013年3月立项建企，隶属于山东公用热电集团有限公司。2019年之前为自备热源，有58MW热水锅炉、29MW燃气热水锅炉各一台。2018年12月底，鲁泰热电有限公司至鱼台城区DN700高温水供热管道建成，2019年11月该管道投入运行。公司占地25.4亩，固定资产达1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99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亿元，总资产达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亿元。</w:t>
      </w:r>
    </w:p>
    <w:p w14:paraId="6C405C6E"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17401A46"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79F79EEB">
      <w:pPr>
        <w:pStyle w:val="3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1"/>
        <w:gridCol w:w="4440"/>
      </w:tblGrid>
      <w:tr w14:paraId="0AEC9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81" w:type="dxa"/>
          </w:tcPr>
          <w:p w14:paraId="0A8D57CD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440" w:type="dxa"/>
          </w:tcPr>
          <w:p w14:paraId="70B1EE27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18AF0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81" w:type="dxa"/>
          </w:tcPr>
          <w:p w14:paraId="6148BB3D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440" w:type="dxa"/>
          </w:tcPr>
          <w:p w14:paraId="3BBE1442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3457.11</w:t>
            </w:r>
          </w:p>
        </w:tc>
      </w:tr>
      <w:tr w14:paraId="1E3BB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81" w:type="dxa"/>
          </w:tcPr>
          <w:p w14:paraId="4CA658E8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440" w:type="dxa"/>
          </w:tcPr>
          <w:p w14:paraId="0FCE5D13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5190.49</w:t>
            </w:r>
          </w:p>
        </w:tc>
      </w:tr>
      <w:tr w14:paraId="353C8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81" w:type="dxa"/>
          </w:tcPr>
          <w:p w14:paraId="720114C1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440" w:type="dxa"/>
          </w:tcPr>
          <w:p w14:paraId="6E960A5F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70.84</w:t>
            </w:r>
          </w:p>
        </w:tc>
      </w:tr>
      <w:tr w14:paraId="5A9D0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81" w:type="dxa"/>
          </w:tcPr>
          <w:p w14:paraId="767DBB7D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440" w:type="dxa"/>
          </w:tcPr>
          <w:p w14:paraId="0F68309D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  <w:t>-8.79</w:t>
            </w:r>
          </w:p>
        </w:tc>
      </w:tr>
      <w:tr w14:paraId="47F4C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81" w:type="dxa"/>
          </w:tcPr>
          <w:p w14:paraId="77BAF875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440" w:type="dxa"/>
          </w:tcPr>
          <w:p w14:paraId="33DAE2C8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32140.29</w:t>
            </w:r>
          </w:p>
        </w:tc>
      </w:tr>
      <w:tr w14:paraId="04624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81" w:type="dxa"/>
          </w:tcPr>
          <w:p w14:paraId="468198BB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440" w:type="dxa"/>
          </w:tcPr>
          <w:p w14:paraId="12DF54E5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26555.75</w:t>
            </w:r>
          </w:p>
        </w:tc>
      </w:tr>
      <w:tr w14:paraId="2610F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81" w:type="dxa"/>
          </w:tcPr>
          <w:p w14:paraId="7D7C59CE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440" w:type="dxa"/>
          </w:tcPr>
          <w:p w14:paraId="0FA3424C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5584.54</w:t>
            </w:r>
          </w:p>
        </w:tc>
      </w:tr>
    </w:tbl>
    <w:p w14:paraId="473B1AE1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2F710996"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41E738FB"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 7237.65 万元，实际完成率 47.77 %；预算利润总额 297.77万元，实际完成率 23.79 %。</w:t>
      </w:r>
    </w:p>
    <w:p w14:paraId="6B5F0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本期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09B20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440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 xml:space="preserve"> 无。</w:t>
      </w:r>
    </w:p>
    <w:sectPr>
      <w:footerReference r:id="rId3" w:type="default"/>
      <w:pgSz w:w="11906" w:h="16838"/>
      <w:pgMar w:top="1984" w:right="1474" w:bottom="1417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E884F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5D6E1B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5D6E1B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64ED35"/>
    <w:multiLevelType w:val="singleLevel"/>
    <w:tmpl w:val="0664ED3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9660073"/>
    <w:rsid w:val="0C1300BA"/>
    <w:rsid w:val="0E3827C4"/>
    <w:rsid w:val="117860DB"/>
    <w:rsid w:val="11D529E3"/>
    <w:rsid w:val="138C4E98"/>
    <w:rsid w:val="17303DFB"/>
    <w:rsid w:val="208262A6"/>
    <w:rsid w:val="27CA0F26"/>
    <w:rsid w:val="2A355965"/>
    <w:rsid w:val="2E9539DE"/>
    <w:rsid w:val="32DA0AFB"/>
    <w:rsid w:val="359C4116"/>
    <w:rsid w:val="365668DF"/>
    <w:rsid w:val="376F4501"/>
    <w:rsid w:val="3ADE08F5"/>
    <w:rsid w:val="3C5C72A8"/>
    <w:rsid w:val="3EB218E1"/>
    <w:rsid w:val="40BD03D8"/>
    <w:rsid w:val="44BE7FDE"/>
    <w:rsid w:val="46625A9C"/>
    <w:rsid w:val="4A2957E4"/>
    <w:rsid w:val="4A90066C"/>
    <w:rsid w:val="4D663EEA"/>
    <w:rsid w:val="5A0C51E6"/>
    <w:rsid w:val="5D195C77"/>
    <w:rsid w:val="5E5E5DDC"/>
    <w:rsid w:val="67C52FC9"/>
    <w:rsid w:val="6A594467"/>
    <w:rsid w:val="6D316FBD"/>
    <w:rsid w:val="6F4A2487"/>
    <w:rsid w:val="73A033E2"/>
    <w:rsid w:val="73FE1D6C"/>
    <w:rsid w:val="76323B4E"/>
    <w:rsid w:val="779C5E4C"/>
    <w:rsid w:val="7A37543D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626</Words>
  <Characters>733</Characters>
  <Lines>11</Lines>
  <Paragraphs>3</Paragraphs>
  <TotalTime>27</TotalTime>
  <ScaleCrop>false</ScaleCrop>
  <LinksUpToDate>false</LinksUpToDate>
  <CharactersWithSpaces>752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2024-08-25T15:38:37Z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BF6EABCB6D12423B8A6CAA463AC634BC_13</vt:lpwstr>
  </property>
</Properties>
</file>