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5F91E5">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嘉祥玖贡置业有限公司</w:t>
      </w:r>
    </w:p>
    <w:p w14:paraId="5C1A78A9">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4</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eastAsia="zh-CN"/>
        </w:rPr>
        <w:t>中期</w:t>
      </w:r>
      <w:r>
        <w:rPr>
          <w:rFonts w:hint="eastAsia" w:ascii="Times New Roman" w:hAnsi="Times New Roman" w:eastAsia="方正小标宋简体" w:cs="方正小标宋简体"/>
          <w:b/>
          <w:bCs/>
          <w:sz w:val="44"/>
          <w:szCs w:val="44"/>
        </w:rPr>
        <w:t>财务等重大信息公开</w:t>
      </w:r>
    </w:p>
    <w:p w14:paraId="4881DEAF">
      <w:pPr>
        <w:spacing w:line="600" w:lineRule="exact"/>
        <w:rPr>
          <w:rFonts w:ascii="Times New Roman" w:hAnsi="Times New Roman" w:eastAsia="方正小标宋简体" w:cs="Times New Roman"/>
          <w:b/>
          <w:bCs/>
          <w:sz w:val="32"/>
          <w:szCs w:val="32"/>
        </w:rPr>
      </w:pPr>
    </w:p>
    <w:p w14:paraId="25DD46AE">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14:paraId="563FC41E">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14:paraId="092044E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嘉祥玖贡置业有限公司是山东公用置业有限公司与九巨龙房地产开发集团</w:t>
      </w:r>
      <w:r>
        <w:rPr>
          <w:rFonts w:hint="eastAsia" w:ascii="Times New Roman" w:hAnsi="Times New Roman" w:eastAsia="方正仿宋简体" w:cs="Times New Roman"/>
          <w:b/>
          <w:bCs/>
          <w:sz w:val="32"/>
          <w:szCs w:val="32"/>
          <w:lang w:val="en-US" w:eastAsia="zh-CN"/>
        </w:rPr>
        <w:t>各</w:t>
      </w:r>
      <w:r>
        <w:rPr>
          <w:rFonts w:hint="default" w:ascii="Times New Roman" w:hAnsi="Times New Roman" w:eastAsia="方正仿宋简体" w:cs="Times New Roman"/>
          <w:b/>
          <w:bCs/>
          <w:sz w:val="32"/>
          <w:szCs w:val="32"/>
          <w:lang w:val="en-US" w:eastAsia="zh-CN"/>
        </w:rPr>
        <w:t>出资</w:t>
      </w:r>
      <w:r>
        <w:rPr>
          <w:rFonts w:hint="eastAsia" w:ascii="Times New Roman" w:hAnsi="Times New Roman" w:eastAsia="方正仿宋简体" w:cs="Times New Roman"/>
          <w:b/>
          <w:bCs/>
          <w:sz w:val="32"/>
          <w:szCs w:val="32"/>
          <w:lang w:val="en-US" w:eastAsia="zh-CN"/>
        </w:rPr>
        <w:t>50%</w:t>
      </w:r>
      <w:r>
        <w:rPr>
          <w:rFonts w:hint="default" w:ascii="Times New Roman" w:hAnsi="Times New Roman" w:eastAsia="方正仿宋简体" w:cs="Times New Roman"/>
          <w:b/>
          <w:bCs/>
          <w:sz w:val="32"/>
          <w:szCs w:val="32"/>
          <w:lang w:val="en-US" w:eastAsia="zh-CN"/>
        </w:rPr>
        <w:t>设立的企业</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成立于2018年8月</w:t>
      </w:r>
      <w:r>
        <w:rPr>
          <w:rFonts w:hint="eastAsia" w:ascii="Times New Roman" w:hAnsi="Times New Roman" w:eastAsia="方正仿宋简体" w:cs="Times New Roman"/>
          <w:b/>
          <w:bCs/>
          <w:sz w:val="32"/>
          <w:szCs w:val="32"/>
          <w:lang w:val="en-US" w:eastAsia="zh-CN"/>
        </w:rPr>
        <w:t>22日</w:t>
      </w:r>
      <w:r>
        <w:rPr>
          <w:rFonts w:hint="default" w:ascii="Times New Roman" w:hAnsi="Times New Roman" w:eastAsia="方正仿宋简体" w:cs="Times New Roman"/>
          <w:b/>
          <w:bCs/>
          <w:sz w:val="32"/>
          <w:szCs w:val="32"/>
          <w:lang w:val="en-US" w:eastAsia="zh-CN"/>
        </w:rPr>
        <w:t>，注册资本金2000万元</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经营范围包括房地产开发经营。（依法须经批准的项目，经相关部门批准后方可开展经营活动）</w:t>
      </w:r>
    </w:p>
    <w:p w14:paraId="6F31753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以“树立品牌形象，建设优质工程，打造诚信企业”为宗旨，一贯坚持以“市场为导向、开发为重点、经营为龙头、质量为根本”的开发理念和经营方针，致力于开发精品楼盘，优化嘉祥人居环境，精心为客户提供全方位、高品质的良好服务，走品牌化发展道路，开发项目以典雅恢弘的建筑，匠心独运的设计。</w:t>
      </w:r>
    </w:p>
    <w:p w14:paraId="1BEFF6A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开发项目为嘉祥公用丨九巨龙·山水龙城，位于嘉祥县嘉祥街道，小区坐拥优越的青山绿水资源---萌山公园、萌山湖，“依山、傍水、拥湖、赏园”的同时，也规划设计了和项目浑然一体的园内景观。基于对高端人居的深刻洞察，打造智能化社区，聚焦城市高端科技，小区内安装社区直饮水系统、智能入户、社区安防系统、可视对讲、快递智能收发系统、社区WIFI系统，科技融入社区的每一个角落。</w:t>
      </w:r>
    </w:p>
    <w:p w14:paraId="66AA998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14:paraId="243F33E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企业名称：嘉祥玖贡置业有限公司</w:t>
      </w:r>
    </w:p>
    <w:p w14:paraId="2EB66B1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注册地址：山东省济宁市嘉祥县获麟街115号（自来水公司院内）3号楼二楼东侧北首第一间</w:t>
      </w:r>
    </w:p>
    <w:p w14:paraId="7E71C58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登记机关：济宁市嘉祥县行政审批服务局</w:t>
      </w:r>
    </w:p>
    <w:p w14:paraId="6E4B470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w:t>
      </w:r>
    </w:p>
    <w:p w14:paraId="5428976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14:paraId="28521F2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成立日期：2018年08月22日</w:t>
      </w:r>
    </w:p>
    <w:p w14:paraId="09DFCE5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楷体简体" w:cs="方正楷体简体"/>
          <w:b/>
          <w:bCs/>
          <w:sz w:val="32"/>
          <w:szCs w:val="32"/>
        </w:rPr>
        <w:t>（三）机构设置</w:t>
      </w:r>
    </w:p>
    <w:p w14:paraId="6D9712D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公司设董事会，成员5人；设总经理1人；设6个部室、1个项目部，分别为：综合部、财务部、工程部、成本部、采购部、销售部、山水龙城项目部。</w:t>
      </w:r>
    </w:p>
    <w:p w14:paraId="2A384DD8">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940" w:type="dxa"/>
        <w:jc w:val="center"/>
        <w:tblLayout w:type="fixed"/>
        <w:tblCellMar>
          <w:top w:w="0" w:type="dxa"/>
          <w:left w:w="108" w:type="dxa"/>
          <w:bottom w:w="0" w:type="dxa"/>
          <w:right w:w="108" w:type="dxa"/>
        </w:tblCellMar>
      </w:tblPr>
      <w:tblGrid>
        <w:gridCol w:w="1683"/>
        <w:gridCol w:w="1770"/>
        <w:gridCol w:w="1965"/>
        <w:gridCol w:w="1752"/>
        <w:gridCol w:w="1770"/>
      </w:tblGrid>
      <w:tr w14:paraId="04E3A79E">
        <w:tblPrEx>
          <w:tblCellMar>
            <w:top w:w="0" w:type="dxa"/>
            <w:left w:w="108" w:type="dxa"/>
            <w:bottom w:w="0" w:type="dxa"/>
            <w:right w:w="108" w:type="dxa"/>
          </w:tblCellMar>
        </w:tblPrEx>
        <w:trPr>
          <w:trHeight w:val="525" w:hRule="atLeast"/>
          <w:jc w:val="center"/>
        </w:trPr>
        <w:tc>
          <w:tcPr>
            <w:tcW w:w="8940" w:type="dxa"/>
            <w:gridSpan w:val="5"/>
            <w:tcBorders>
              <w:top w:val="nil"/>
              <w:left w:val="nil"/>
              <w:bottom w:val="nil"/>
              <w:right w:val="nil"/>
            </w:tcBorders>
            <w:shd w:val="clear" w:color="auto" w:fill="auto"/>
            <w:noWrap/>
            <w:vAlign w:val="center"/>
          </w:tcPr>
          <w:p w14:paraId="1CD629F9">
            <w:pPr>
              <w:widowControl/>
              <w:textAlignment w:val="center"/>
              <w:rPr>
                <w:rFonts w:ascii="Times New Roman" w:hAnsi="Times New Roman" w:eastAsia="宋体" w:cs="宋体"/>
                <w:b/>
                <w:bCs/>
                <w:color w:val="000000"/>
                <w:sz w:val="22"/>
                <w:szCs w:val="22"/>
              </w:rPr>
            </w:pPr>
            <w:r>
              <w:rPr>
                <w:rFonts w:hint="eastAsia" w:ascii="Times New Roman" w:hAnsi="Times New Roman" w:eastAsia="宋体" w:cs="宋体"/>
                <w:b/>
                <w:bCs/>
                <w:color w:val="000000"/>
                <w:kern w:val="0"/>
                <w:sz w:val="22"/>
                <w:szCs w:val="22"/>
              </w:rPr>
              <w:t>单位： 嘉祥玖贡置业有限公司                                           单位：万元</w:t>
            </w:r>
          </w:p>
        </w:tc>
      </w:tr>
      <w:tr w14:paraId="40A11DA3">
        <w:tblPrEx>
          <w:tblCellMar>
            <w:top w:w="0" w:type="dxa"/>
            <w:left w:w="108" w:type="dxa"/>
            <w:bottom w:w="0" w:type="dxa"/>
            <w:right w:w="108" w:type="dxa"/>
          </w:tblCellMar>
        </w:tblPrEx>
        <w:trPr>
          <w:trHeight w:val="600" w:hRule="atLeast"/>
          <w:jc w:val="center"/>
        </w:trPr>
        <w:tc>
          <w:tcPr>
            <w:tcW w:w="1683"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190CEEB3">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项目</w:t>
            </w:r>
          </w:p>
        </w:tc>
        <w:tc>
          <w:tcPr>
            <w:tcW w:w="177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4D74C11">
            <w:pPr>
              <w:keepNext w:val="0"/>
              <w:keepLines w:val="0"/>
              <w:widowControl/>
              <w:suppressLineNumbers w:val="0"/>
              <w:jc w:val="center"/>
              <w:textAlignment w:val="center"/>
              <w:rPr>
                <w:rFonts w:ascii="Times New Roman" w:hAnsi="Times New Roman" w:eastAsia="宋体" w:cs="宋体"/>
                <w:b/>
                <w:bCs/>
                <w:color w:val="000000"/>
                <w:sz w:val="22"/>
                <w:szCs w:val="22"/>
              </w:rPr>
            </w:pPr>
            <w:r>
              <w:rPr>
                <w:rStyle w:val="13"/>
                <w:rFonts w:eastAsia="宋体"/>
                <w:b/>
                <w:bCs/>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本期金额</w:t>
            </w:r>
          </w:p>
        </w:tc>
        <w:tc>
          <w:tcPr>
            <w:tcW w:w="196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0E5A2D00">
            <w:pPr>
              <w:keepNext w:val="0"/>
              <w:keepLines w:val="0"/>
              <w:widowControl/>
              <w:suppressLineNumbers w:val="0"/>
              <w:jc w:val="center"/>
              <w:textAlignment w:val="center"/>
              <w:rPr>
                <w:rFonts w:ascii="Times New Roman" w:hAnsi="Times New Roman" w:eastAsia="宋体" w:cs="宋体"/>
                <w:b/>
                <w:bCs/>
                <w:color w:val="000000"/>
                <w:sz w:val="22"/>
                <w:szCs w:val="22"/>
              </w:rPr>
            </w:pPr>
            <w:r>
              <w:rPr>
                <w:rStyle w:val="13"/>
                <w:rFonts w:eastAsia="宋体"/>
                <w:b/>
                <w:bCs/>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年度预算目标</w:t>
            </w:r>
          </w:p>
        </w:tc>
        <w:tc>
          <w:tcPr>
            <w:tcW w:w="1752"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710E8C2">
            <w:pPr>
              <w:keepNext w:val="0"/>
              <w:keepLines w:val="0"/>
              <w:widowControl/>
              <w:suppressLineNumbers w:val="0"/>
              <w:jc w:val="center"/>
              <w:textAlignment w:val="center"/>
              <w:rPr>
                <w:rFonts w:ascii="Times New Roman" w:hAnsi="Times New Roman" w:eastAsia="宋体" w:cs="宋体"/>
                <w:b/>
                <w:bCs/>
                <w:color w:val="000000"/>
                <w:sz w:val="22"/>
                <w:szCs w:val="22"/>
              </w:rPr>
            </w:pPr>
            <w:r>
              <w:rPr>
                <w:rStyle w:val="13"/>
                <w:rFonts w:eastAsia="宋体"/>
                <w:b/>
                <w:bCs/>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预算完成情况</w:t>
            </w:r>
          </w:p>
        </w:tc>
        <w:tc>
          <w:tcPr>
            <w:tcW w:w="177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57A37B9A">
            <w:pPr>
              <w:keepNext w:val="0"/>
              <w:keepLines w:val="0"/>
              <w:widowControl/>
              <w:suppressLineNumbers w:val="0"/>
              <w:jc w:val="center"/>
              <w:textAlignment w:val="center"/>
              <w:rPr>
                <w:rFonts w:ascii="Times New Roman" w:hAnsi="Times New Roman" w:eastAsia="宋体" w:cs="宋体"/>
                <w:b/>
                <w:bCs/>
                <w:color w:val="000000"/>
                <w:sz w:val="22"/>
                <w:szCs w:val="22"/>
              </w:rPr>
            </w:pPr>
            <w:r>
              <w:rPr>
                <w:rStyle w:val="13"/>
                <w:rFonts w:eastAsia="宋体"/>
                <w:b/>
                <w:bCs/>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上年同期</w:t>
            </w:r>
          </w:p>
        </w:tc>
      </w:tr>
      <w:tr w14:paraId="58B4D8B5">
        <w:tblPrEx>
          <w:tblCellMar>
            <w:top w:w="0" w:type="dxa"/>
            <w:left w:w="108" w:type="dxa"/>
            <w:bottom w:w="0" w:type="dxa"/>
            <w:right w:w="108" w:type="dxa"/>
          </w:tblCellMar>
        </w:tblPrEx>
        <w:trPr>
          <w:trHeight w:val="600" w:hRule="atLeast"/>
          <w:jc w:val="center"/>
        </w:trPr>
        <w:tc>
          <w:tcPr>
            <w:tcW w:w="168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4E7C975">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营业总收入</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3B8E1">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34,583.00 </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8687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53,562.51 </w:t>
            </w: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7E065">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64.57%</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1DA0E795">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55.00 </w:t>
            </w:r>
          </w:p>
        </w:tc>
      </w:tr>
      <w:tr w14:paraId="316885CD">
        <w:tblPrEx>
          <w:tblCellMar>
            <w:top w:w="0" w:type="dxa"/>
            <w:left w:w="108" w:type="dxa"/>
            <w:bottom w:w="0" w:type="dxa"/>
            <w:right w:w="108" w:type="dxa"/>
          </w:tblCellMar>
        </w:tblPrEx>
        <w:trPr>
          <w:trHeight w:val="600" w:hRule="atLeast"/>
          <w:jc w:val="center"/>
        </w:trPr>
        <w:tc>
          <w:tcPr>
            <w:tcW w:w="168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866354">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营业总成本</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7C45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26,528.00 </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36A5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44,542.08 </w:t>
            </w: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1109C">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59.56%</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0BABFF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484.00 </w:t>
            </w:r>
          </w:p>
        </w:tc>
      </w:tr>
      <w:tr w14:paraId="4BC44303">
        <w:tblPrEx>
          <w:tblCellMar>
            <w:top w:w="0" w:type="dxa"/>
            <w:left w:w="108" w:type="dxa"/>
            <w:bottom w:w="0" w:type="dxa"/>
            <w:right w:w="108" w:type="dxa"/>
          </w:tblCellMar>
        </w:tblPrEx>
        <w:trPr>
          <w:trHeight w:val="600" w:hRule="atLeast"/>
          <w:jc w:val="center"/>
        </w:trPr>
        <w:tc>
          <w:tcPr>
            <w:tcW w:w="168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412DBA">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利润总额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3A19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8,069.00 </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5EA5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9,023.93 </w:t>
            </w: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D7049">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89.42%</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4297C92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-428.00 </w:t>
            </w:r>
          </w:p>
        </w:tc>
      </w:tr>
      <w:tr w14:paraId="3C2E3CA3">
        <w:tblPrEx>
          <w:tblCellMar>
            <w:top w:w="0" w:type="dxa"/>
            <w:left w:w="108" w:type="dxa"/>
            <w:bottom w:w="0" w:type="dxa"/>
            <w:right w:w="108" w:type="dxa"/>
          </w:tblCellMar>
        </w:tblPrEx>
        <w:trPr>
          <w:trHeight w:val="600" w:hRule="atLeast"/>
          <w:jc w:val="center"/>
        </w:trPr>
        <w:tc>
          <w:tcPr>
            <w:tcW w:w="168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C0BA3B">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净利润</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2A9D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6,589.00 </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A438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6,767.86 </w:t>
            </w: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36DD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97.36%</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931BE6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-428.00 </w:t>
            </w:r>
          </w:p>
        </w:tc>
      </w:tr>
      <w:tr w14:paraId="16B813DC">
        <w:tblPrEx>
          <w:tblCellMar>
            <w:top w:w="0" w:type="dxa"/>
            <w:left w:w="108" w:type="dxa"/>
            <w:bottom w:w="0" w:type="dxa"/>
            <w:right w:w="108" w:type="dxa"/>
          </w:tblCellMar>
        </w:tblPrEx>
        <w:trPr>
          <w:trHeight w:val="600" w:hRule="atLeast"/>
          <w:jc w:val="center"/>
        </w:trPr>
        <w:tc>
          <w:tcPr>
            <w:tcW w:w="168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A8951C">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资产总额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33BAC">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229,365.00 </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83545">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225,977.45 </w:t>
            </w: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4FE2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101.50%</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0A44C4A">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225,900.00 </w:t>
            </w:r>
          </w:p>
        </w:tc>
      </w:tr>
      <w:tr w14:paraId="61BD7BFE">
        <w:tblPrEx>
          <w:tblCellMar>
            <w:top w:w="0" w:type="dxa"/>
            <w:left w:w="108" w:type="dxa"/>
            <w:bottom w:w="0" w:type="dxa"/>
            <w:right w:w="108" w:type="dxa"/>
          </w:tblCellMar>
        </w:tblPrEx>
        <w:trPr>
          <w:trHeight w:val="600" w:hRule="atLeast"/>
          <w:jc w:val="center"/>
        </w:trPr>
        <w:tc>
          <w:tcPr>
            <w:tcW w:w="168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1E670A">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负债总额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0268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222,924.00 </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2959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219,466.59 </w:t>
            </w:r>
          </w:p>
        </w:tc>
        <w:tc>
          <w:tcPr>
            <w:tcW w:w="1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AF0B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101.58%</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633ED7A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226,914.00 </w:t>
            </w:r>
          </w:p>
        </w:tc>
      </w:tr>
      <w:tr w14:paraId="62B2F365">
        <w:tblPrEx>
          <w:tblCellMar>
            <w:top w:w="0" w:type="dxa"/>
            <w:left w:w="108" w:type="dxa"/>
            <w:bottom w:w="0" w:type="dxa"/>
            <w:right w:w="108" w:type="dxa"/>
          </w:tblCellMar>
        </w:tblPrEx>
        <w:trPr>
          <w:trHeight w:val="600" w:hRule="atLeast"/>
          <w:jc w:val="center"/>
        </w:trPr>
        <w:tc>
          <w:tcPr>
            <w:tcW w:w="1683" w:type="dxa"/>
            <w:tcBorders>
              <w:top w:val="single" w:color="000000" w:sz="4" w:space="0"/>
              <w:left w:val="single" w:color="000000" w:sz="8" w:space="0"/>
              <w:bottom w:val="single" w:color="000000" w:sz="8" w:space="0"/>
              <w:right w:val="single" w:color="000000" w:sz="4" w:space="0"/>
            </w:tcBorders>
            <w:shd w:val="clear" w:color="auto" w:fill="auto"/>
            <w:noWrap/>
            <w:vAlign w:val="center"/>
          </w:tcPr>
          <w:p w14:paraId="4FB81582">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所有者权益</w:t>
            </w:r>
          </w:p>
        </w:tc>
        <w:tc>
          <w:tcPr>
            <w:tcW w:w="177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186B46A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6,441.00 </w:t>
            </w:r>
          </w:p>
        </w:tc>
        <w:tc>
          <w:tcPr>
            <w:tcW w:w="196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427A97B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6,510.86 </w:t>
            </w:r>
          </w:p>
        </w:tc>
        <w:tc>
          <w:tcPr>
            <w:tcW w:w="175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21C52BD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98.93%</w:t>
            </w:r>
          </w:p>
        </w:tc>
        <w:tc>
          <w:tcPr>
            <w:tcW w:w="17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14:paraId="3EE1E9D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-1,014.00 </w:t>
            </w:r>
          </w:p>
        </w:tc>
      </w:tr>
    </w:tbl>
    <w:p w14:paraId="3E49CB46">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14:paraId="4719DFF2">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lang w:val="en-US" w:eastAsia="zh-CN"/>
        </w:rPr>
        <w:t>2024年第二度</w:t>
      </w:r>
      <w:r>
        <w:rPr>
          <w:rFonts w:hint="eastAsia" w:ascii="Times New Roman" w:hAnsi="Times New Roman" w:eastAsia="方正仿宋简体" w:cs="方正仿宋简体"/>
          <w:b/>
          <w:bCs/>
          <w:sz w:val="32"/>
          <w:szCs w:val="32"/>
        </w:rPr>
        <w:t>累计实现营业收入</w:t>
      </w:r>
      <w:r>
        <w:rPr>
          <w:rFonts w:hint="eastAsia" w:ascii="Times New Roman" w:hAnsi="Times New Roman" w:eastAsia="方正仿宋简体" w:cs="方正仿宋简体"/>
          <w:b/>
          <w:bCs/>
          <w:sz w:val="32"/>
          <w:szCs w:val="32"/>
          <w:lang w:val="en-US" w:eastAsia="zh-CN"/>
        </w:rPr>
        <w:t>3.46亿</w:t>
      </w:r>
      <w:r>
        <w:rPr>
          <w:rFonts w:hint="eastAsia" w:ascii="Times New Roman" w:hAnsi="Times New Roman" w:eastAsia="方正仿宋简体" w:cs="方正仿宋简体"/>
          <w:b/>
          <w:bCs/>
          <w:sz w:val="32"/>
          <w:szCs w:val="32"/>
        </w:rPr>
        <w:t>元</w:t>
      </w:r>
      <w:r>
        <w:rPr>
          <w:rFonts w:hint="eastAsia" w:ascii="Times New Roman" w:hAnsi="Times New Roman" w:eastAsia="方正仿宋简体" w:cs="方正仿宋简体"/>
          <w:b/>
          <w:bCs/>
          <w:sz w:val="32"/>
          <w:szCs w:val="32"/>
          <w:lang w:eastAsia="zh-CN"/>
        </w:rPr>
        <w:t>，较全年预算目标5.36亿元完成64.57%</w:t>
      </w:r>
      <w:r>
        <w:rPr>
          <w:rFonts w:hint="eastAsia" w:ascii="Times New Roman" w:hAnsi="Times New Roman" w:eastAsia="方正仿宋简体" w:cs="方正仿宋简体"/>
          <w:b/>
          <w:bCs/>
          <w:sz w:val="32"/>
          <w:szCs w:val="32"/>
        </w:rPr>
        <w:t>；累计实现利润总额</w:t>
      </w:r>
      <w:r>
        <w:rPr>
          <w:rFonts w:hint="eastAsia" w:ascii="Times New Roman" w:hAnsi="Times New Roman" w:eastAsia="方正仿宋简体" w:cs="方正仿宋简体"/>
          <w:b/>
          <w:bCs/>
          <w:sz w:val="32"/>
          <w:szCs w:val="32"/>
          <w:lang w:val="en-US" w:eastAsia="zh-CN"/>
        </w:rPr>
        <w:t>8069</w:t>
      </w:r>
      <w:r>
        <w:rPr>
          <w:rFonts w:hint="eastAsia" w:ascii="Times New Roman" w:hAnsi="Times New Roman" w:eastAsia="方正仿宋简体" w:cs="方正仿宋简体"/>
          <w:b/>
          <w:bCs/>
          <w:sz w:val="32"/>
          <w:szCs w:val="32"/>
        </w:rPr>
        <w:t>万元，较全年预算目标</w:t>
      </w:r>
      <w:r>
        <w:rPr>
          <w:rFonts w:hint="eastAsia" w:ascii="Times New Roman" w:hAnsi="Times New Roman" w:eastAsia="方正仿宋简体" w:cs="方正仿宋简体"/>
          <w:b/>
          <w:bCs/>
          <w:sz w:val="32"/>
          <w:szCs w:val="32"/>
          <w:lang w:val="en-US" w:eastAsia="zh-CN"/>
        </w:rPr>
        <w:t>9023.93</w:t>
      </w:r>
      <w:r>
        <w:rPr>
          <w:rFonts w:hint="eastAsia" w:ascii="Times New Roman" w:hAnsi="Times New Roman" w:eastAsia="方正仿宋简体" w:cs="方正仿宋简体"/>
          <w:b/>
          <w:bCs/>
          <w:sz w:val="32"/>
          <w:szCs w:val="32"/>
        </w:rPr>
        <w:t>万元完成</w:t>
      </w:r>
      <w:r>
        <w:rPr>
          <w:rFonts w:hint="eastAsia" w:ascii="Times New Roman" w:hAnsi="Times New Roman" w:eastAsia="方正仿宋简体" w:cs="方正仿宋简体"/>
          <w:b/>
          <w:bCs/>
          <w:sz w:val="32"/>
          <w:szCs w:val="32"/>
          <w:lang w:val="en-US" w:eastAsia="zh-CN"/>
        </w:rPr>
        <w:t>89.42%</w:t>
      </w:r>
      <w:r>
        <w:rPr>
          <w:rFonts w:hint="eastAsia" w:ascii="Times New Roman" w:hAnsi="Times New Roman" w:eastAsia="方正仿宋简体" w:cs="方正仿宋简体"/>
          <w:b/>
          <w:bCs/>
          <w:sz w:val="32"/>
          <w:szCs w:val="32"/>
        </w:rPr>
        <w:t>；</w:t>
      </w:r>
      <w:r>
        <w:rPr>
          <w:rFonts w:hint="eastAsia" w:ascii="Times New Roman" w:hAnsi="Times New Roman" w:eastAsia="方正仿宋简体" w:cs="方正仿宋简体"/>
          <w:b/>
          <w:bCs/>
          <w:sz w:val="32"/>
          <w:szCs w:val="32"/>
          <w:lang w:val="en-US" w:eastAsia="zh-CN"/>
        </w:rPr>
        <w:t>6月底</w:t>
      </w:r>
      <w:r>
        <w:rPr>
          <w:rFonts w:hint="eastAsia" w:ascii="Times New Roman" w:hAnsi="Times New Roman" w:eastAsia="方正仿宋简体" w:cs="方正仿宋简体"/>
          <w:b/>
          <w:bCs/>
          <w:sz w:val="32"/>
          <w:szCs w:val="32"/>
        </w:rPr>
        <w:t>资产负债率</w:t>
      </w:r>
      <w:r>
        <w:rPr>
          <w:rFonts w:hint="eastAsia" w:ascii="Times New Roman" w:hAnsi="Times New Roman" w:eastAsia="方正仿宋简体" w:cs="方正仿宋简体"/>
          <w:b/>
          <w:bCs/>
          <w:sz w:val="32"/>
          <w:szCs w:val="32"/>
          <w:lang w:val="en-US" w:eastAsia="zh-CN"/>
        </w:rPr>
        <w:t>97.19%</w:t>
      </w:r>
      <w:r>
        <w:rPr>
          <w:rFonts w:hint="eastAsia" w:ascii="Times New Roman" w:hAnsi="Times New Roman" w:eastAsia="方正仿宋简体" w:cs="方正仿宋简体"/>
          <w:b/>
          <w:bCs/>
          <w:sz w:val="32"/>
          <w:szCs w:val="32"/>
        </w:rPr>
        <w:t>，比去年同期的</w:t>
      </w:r>
      <w:r>
        <w:rPr>
          <w:rFonts w:hint="eastAsia" w:ascii="Times New Roman" w:hAnsi="Times New Roman" w:eastAsia="方正仿宋简体" w:cs="方正仿宋简体"/>
          <w:b/>
          <w:bCs/>
          <w:sz w:val="32"/>
          <w:szCs w:val="32"/>
          <w:lang w:val="en-US" w:eastAsia="zh-CN"/>
        </w:rPr>
        <w:t>100.45%下降</w:t>
      </w:r>
      <w:r>
        <w:rPr>
          <w:rFonts w:hint="eastAsia" w:ascii="Times New Roman" w:hAnsi="Times New Roman" w:eastAsia="方正仿宋简体" w:cs="方正仿宋简体"/>
          <w:b/>
          <w:bCs/>
          <w:sz w:val="32"/>
          <w:szCs w:val="32"/>
        </w:rPr>
        <w:t>了</w:t>
      </w:r>
      <w:r>
        <w:rPr>
          <w:rFonts w:hint="eastAsia" w:ascii="Times New Roman" w:hAnsi="Times New Roman" w:eastAsia="方正仿宋简体" w:cs="方正仿宋简体"/>
          <w:b/>
          <w:bCs/>
          <w:sz w:val="32"/>
          <w:szCs w:val="32"/>
          <w:lang w:val="en-US" w:eastAsia="zh-CN"/>
        </w:rPr>
        <w:t>3.26</w:t>
      </w:r>
      <w:r>
        <w:rPr>
          <w:rFonts w:hint="eastAsia" w:ascii="Times New Roman" w:hAnsi="Times New Roman" w:eastAsia="方正仿宋简体" w:cs="方正仿宋简体"/>
          <w:b/>
          <w:bCs/>
          <w:sz w:val="32"/>
          <w:szCs w:val="32"/>
        </w:rPr>
        <w:t>个百分点。</w:t>
      </w:r>
    </w:p>
    <w:p w14:paraId="7F9ACC4C">
      <w:p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四</w:t>
      </w:r>
      <w:r>
        <w:rPr>
          <w:rFonts w:ascii="Times New Roman" w:hAnsi="Times New Roman" w:eastAsia="方正黑体简体" w:cs="Times New Roman"/>
          <w:b/>
          <w:bCs/>
          <w:sz w:val="32"/>
          <w:szCs w:val="32"/>
        </w:rPr>
        <w:t>、</w:t>
      </w:r>
      <w:r>
        <w:rPr>
          <w:rFonts w:hint="eastAsia" w:ascii="Times New Roman" w:hAnsi="Times New Roman" w:eastAsia="方正黑体简体" w:cs="Times New Roman"/>
          <w:b/>
          <w:bCs/>
          <w:sz w:val="32"/>
          <w:szCs w:val="32"/>
          <w:lang w:val="en-US" w:eastAsia="zh-CN"/>
        </w:rPr>
        <w:t>年度中期内发生的重大事项及对公司的影响</w:t>
      </w:r>
    </w:p>
    <w:p w14:paraId="3CD062A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无。</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Helvetica Neue">
    <w:altName w:val="宋体"/>
    <w:panose1 w:val="00000000000000000000"/>
    <w:charset w:val="86"/>
    <w:family w:val="roman"/>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1B92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9AD7EC">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E9AD7EC">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28E8704B"/>
    <w:rsid w:val="00023E53"/>
    <w:rsid w:val="00064C10"/>
    <w:rsid w:val="000B3C65"/>
    <w:rsid w:val="000B768B"/>
    <w:rsid w:val="000F4906"/>
    <w:rsid w:val="001048D2"/>
    <w:rsid w:val="001225CF"/>
    <w:rsid w:val="0016636E"/>
    <w:rsid w:val="00173818"/>
    <w:rsid w:val="001E70D3"/>
    <w:rsid w:val="001F0930"/>
    <w:rsid w:val="00243895"/>
    <w:rsid w:val="002659B0"/>
    <w:rsid w:val="0027474F"/>
    <w:rsid w:val="002F0D05"/>
    <w:rsid w:val="0033664A"/>
    <w:rsid w:val="00387CC5"/>
    <w:rsid w:val="003A2581"/>
    <w:rsid w:val="003B2746"/>
    <w:rsid w:val="003C0776"/>
    <w:rsid w:val="003D4ECA"/>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21990"/>
    <w:rsid w:val="00956D2F"/>
    <w:rsid w:val="009A5685"/>
    <w:rsid w:val="009D48DC"/>
    <w:rsid w:val="009E5784"/>
    <w:rsid w:val="00A45B31"/>
    <w:rsid w:val="00A87960"/>
    <w:rsid w:val="00B47D29"/>
    <w:rsid w:val="00B72AA9"/>
    <w:rsid w:val="00BA5853"/>
    <w:rsid w:val="00C34F1A"/>
    <w:rsid w:val="00C471A1"/>
    <w:rsid w:val="00C60935"/>
    <w:rsid w:val="00C65F09"/>
    <w:rsid w:val="00C6627E"/>
    <w:rsid w:val="00D153C1"/>
    <w:rsid w:val="00D2501B"/>
    <w:rsid w:val="00D33D8F"/>
    <w:rsid w:val="00D34D61"/>
    <w:rsid w:val="00D43CE6"/>
    <w:rsid w:val="00DA289F"/>
    <w:rsid w:val="00DB13BB"/>
    <w:rsid w:val="00E01818"/>
    <w:rsid w:val="00E0765F"/>
    <w:rsid w:val="00E25793"/>
    <w:rsid w:val="00E60C18"/>
    <w:rsid w:val="00E6208D"/>
    <w:rsid w:val="00EC0809"/>
    <w:rsid w:val="00F53553"/>
    <w:rsid w:val="026B117B"/>
    <w:rsid w:val="04C07E5F"/>
    <w:rsid w:val="06D01345"/>
    <w:rsid w:val="08246BD0"/>
    <w:rsid w:val="0DD16F1A"/>
    <w:rsid w:val="1626244B"/>
    <w:rsid w:val="19560A59"/>
    <w:rsid w:val="19961E21"/>
    <w:rsid w:val="1C062742"/>
    <w:rsid w:val="1C496371"/>
    <w:rsid w:val="1C5D2A39"/>
    <w:rsid w:val="1C8F2AE8"/>
    <w:rsid w:val="1FFE67CB"/>
    <w:rsid w:val="21785B44"/>
    <w:rsid w:val="2375417F"/>
    <w:rsid w:val="25486BE3"/>
    <w:rsid w:val="26A93DBD"/>
    <w:rsid w:val="27307EC4"/>
    <w:rsid w:val="27F03E2A"/>
    <w:rsid w:val="28716ED4"/>
    <w:rsid w:val="28E8704B"/>
    <w:rsid w:val="290C75C1"/>
    <w:rsid w:val="297C7D06"/>
    <w:rsid w:val="29D47C5C"/>
    <w:rsid w:val="2A4822AF"/>
    <w:rsid w:val="2C7D50CC"/>
    <w:rsid w:val="2E8D617B"/>
    <w:rsid w:val="32777821"/>
    <w:rsid w:val="334308AF"/>
    <w:rsid w:val="38C501C8"/>
    <w:rsid w:val="39AE61CA"/>
    <w:rsid w:val="3C4F1CAB"/>
    <w:rsid w:val="3D910776"/>
    <w:rsid w:val="3DC4168B"/>
    <w:rsid w:val="3DF23407"/>
    <w:rsid w:val="3EA017DC"/>
    <w:rsid w:val="3FBD419A"/>
    <w:rsid w:val="419C0824"/>
    <w:rsid w:val="4228602D"/>
    <w:rsid w:val="42335C28"/>
    <w:rsid w:val="425E3225"/>
    <w:rsid w:val="44244964"/>
    <w:rsid w:val="444B4611"/>
    <w:rsid w:val="455B3491"/>
    <w:rsid w:val="4BCB5DD0"/>
    <w:rsid w:val="4EC937F4"/>
    <w:rsid w:val="4EEF2F58"/>
    <w:rsid w:val="4FB8342C"/>
    <w:rsid w:val="52DF6C8B"/>
    <w:rsid w:val="536B2CB8"/>
    <w:rsid w:val="57404164"/>
    <w:rsid w:val="576B5048"/>
    <w:rsid w:val="5AA17B99"/>
    <w:rsid w:val="5AD277FB"/>
    <w:rsid w:val="5C24341D"/>
    <w:rsid w:val="5E145AF2"/>
    <w:rsid w:val="5E830FE3"/>
    <w:rsid w:val="5F412942"/>
    <w:rsid w:val="5FA47421"/>
    <w:rsid w:val="60785E58"/>
    <w:rsid w:val="61B5226F"/>
    <w:rsid w:val="66792F89"/>
    <w:rsid w:val="66EC3CFC"/>
    <w:rsid w:val="692A1D76"/>
    <w:rsid w:val="6A5519A2"/>
    <w:rsid w:val="6C305B70"/>
    <w:rsid w:val="6CDE381E"/>
    <w:rsid w:val="6D8C75E7"/>
    <w:rsid w:val="6E19256C"/>
    <w:rsid w:val="6F386241"/>
    <w:rsid w:val="6F481423"/>
    <w:rsid w:val="71D022E5"/>
    <w:rsid w:val="72DC21B0"/>
    <w:rsid w:val="73E963DB"/>
    <w:rsid w:val="75D26FF0"/>
    <w:rsid w:val="75EB3B8E"/>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0"/>
    <w:rPr>
      <w:sz w:val="18"/>
      <w:szCs w:val="18"/>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autoRedefine/>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autoRedefine/>
    <w:semiHidden/>
    <w:qFormat/>
    <w:uiPriority w:val="0"/>
    <w:rPr>
      <w:rFonts w:asciiTheme="minorHAnsi" w:hAnsiTheme="minorHAnsi" w:eastAsiaTheme="minorEastAsia" w:cstheme="minorBidi"/>
      <w:kern w:val="2"/>
      <w:sz w:val="18"/>
      <w:szCs w:val="18"/>
    </w:rPr>
  </w:style>
  <w:style w:type="paragraph" w:customStyle="1" w:styleId="10">
    <w:name w:val="正文1"/>
    <w:autoRedefine/>
    <w:qFormat/>
    <w:uiPriority w:val="0"/>
    <w:pPr>
      <w:framePr w:wrap="around" w:vAnchor="margin" w:hAnchor="text" w:y="1"/>
    </w:pPr>
    <w:rPr>
      <w:rFonts w:hint="eastAsia" w:ascii="Arial Unicode MS" w:hAnsi="Arial Unicode MS" w:eastAsia="Helvetica Neue" w:cs="Arial Unicode MS"/>
      <w:color w:val="000000"/>
      <w:sz w:val="22"/>
      <w:szCs w:val="22"/>
      <w:lang w:val="zh-CN" w:eastAsia="zh-CN" w:bidi="ar-SA"/>
    </w:rPr>
  </w:style>
  <w:style w:type="paragraph" w:customStyle="1" w:styleId="11">
    <w:name w:val="默认"/>
    <w:qFormat/>
    <w:uiPriority w:val="0"/>
    <w:pPr>
      <w:framePr w:wrap="around" w:vAnchor="margin" w:hAnchor="text" w:y="1"/>
      <w:spacing w:before="160"/>
    </w:pPr>
    <w:rPr>
      <w:rFonts w:hint="eastAsia" w:ascii="Arial Unicode MS" w:hAnsi="Arial Unicode MS" w:eastAsia="Helvetica Neue" w:cs="Arial Unicode MS"/>
      <w:color w:val="000000"/>
      <w:sz w:val="24"/>
      <w:szCs w:val="24"/>
      <w:lang w:val="zh-CN" w:eastAsia="zh-CN" w:bidi="ar-SA"/>
    </w:rPr>
  </w:style>
  <w:style w:type="character" w:customStyle="1" w:styleId="12">
    <w:name w:val="font11"/>
    <w:basedOn w:val="6"/>
    <w:qFormat/>
    <w:uiPriority w:val="0"/>
    <w:rPr>
      <w:rFonts w:hint="eastAsia" w:ascii="宋体" w:hAnsi="宋体" w:eastAsia="宋体" w:cs="宋体"/>
      <w:color w:val="000000"/>
      <w:sz w:val="22"/>
      <w:szCs w:val="22"/>
      <w:u w:val="none"/>
    </w:rPr>
  </w:style>
  <w:style w:type="character" w:customStyle="1" w:styleId="13">
    <w:name w:val="font2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895</Words>
  <Characters>1155</Characters>
  <Lines>8</Lines>
  <Paragraphs>2</Paragraphs>
  <TotalTime>0</TotalTime>
  <ScaleCrop>false</ScaleCrop>
  <LinksUpToDate>false</LinksUpToDate>
  <CharactersWithSpaces>1225</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Administrator</cp:lastModifiedBy>
  <cp:lastPrinted>2022-04-28T02:25:00Z</cp:lastPrinted>
  <dcterms:modified xsi:type="dcterms:W3CDTF">2024-08-29T15:47:36Z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46431C416B6C47AEB559E909CCA891F7_13</vt:lpwstr>
  </property>
  <property fmtid="{D5CDD505-2E9C-101B-9397-08002B2CF9AE}" pid="4" name="commondata">
    <vt:lpwstr>eyJoZGlkIjoiMzIxYmMwMDJkYjZiMmFlYzdhY2YzYTliOWFhN2UxMzIifQ==</vt:lpwstr>
  </property>
</Properties>
</file>