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D2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  <w:lang w:val="en-US" w:eastAsia="zh-CN"/>
        </w:rPr>
        <w:t>济宁兖州区公用水务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highlight w:val="none"/>
        </w:rPr>
        <w:t>有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 xml:space="preserve">限公司 </w:t>
      </w:r>
    </w:p>
    <w:p w14:paraId="4EE48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rPr>
          <w:rFonts w:hint="default" w:ascii="Times New Roman" w:hAnsi="Times New Roman" w:eastAsia="方正小标宋简体" w:cs="Times New Roman"/>
          <w:sz w:val="2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财务重大信息公开</w:t>
      </w:r>
    </w:p>
    <w:p w14:paraId="6D7CA6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</w:p>
    <w:p w14:paraId="552659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一、公司基本情况 </w:t>
      </w:r>
    </w:p>
    <w:p w14:paraId="6C3240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济宁兖州区公用水务有限公司</w:t>
      </w:r>
    </w:p>
    <w:p w14:paraId="178373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法定代表人：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张家峰</w:t>
      </w:r>
    </w:p>
    <w:p w14:paraId="2D2B8A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山东省济宁市兖州区新兖镇金村</w:t>
      </w:r>
    </w:p>
    <w:p w14:paraId="1A934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经营范围：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一般项目：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非居住房地产租赁;供应用仪器仪表销售;污水处理及其再生利用:水资源管理:水污染治理:机械设备租赁:水质污染物监测及检测仪器仪表销售;计量服务;通用设备修理;专用设备修理:住宅水电安装维护服务;专业保洁、清洗、消毒服务:销售代理:市政设施管理(除依法须经批准的项目外，凭营业执照依法自主开展经营活动)许可项目:自来水生产与供应;各类工程建设活动;建设工程设计;检验检测服务;消防技术服务:现制现售饮用水(依法须经批准的项目，经相关部门批准后方可开展经营活动，具体经营项目以审批结果为准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）</w:t>
      </w:r>
    </w:p>
    <w:p w14:paraId="1204F0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jc w:val="left"/>
        <w:textAlignment w:val="baseline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公司简介: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济宁兖州区公用水务有限公司，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隶属于山东公用控股有限公司下属的山东公用水务集团有限公司，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是从事城市供水、污水处理及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农污治理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服务的市政公用企业。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 0.60亿元，现有员工293人，拥有两座供水水厂、四座污水处理厂，日供水能力10万立方米，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输配水主管道300余公里，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服务人口约35万人，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供水普及率和水质综合合格率达到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%；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日处理污水能力15万立方米，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服务面积约63平方公里，污水处理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实现了全指标达标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zh-CN" w:eastAsia="zh-CN"/>
        </w:rPr>
        <w:t>。</w:t>
      </w:r>
    </w:p>
    <w:p w14:paraId="7F9561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会计数据和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财务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指标</w:t>
      </w:r>
      <w:r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val="en-US" w:eastAsia="zh-CN"/>
        </w:rPr>
        <w:t>（截至到2024年6月30日）</w:t>
      </w:r>
    </w:p>
    <w:p w14:paraId="0C71E1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25" w:firstLineChars="20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单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位：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 w14:paraId="443E8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307EE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营业总收入</w:t>
            </w:r>
          </w:p>
        </w:tc>
        <w:tc>
          <w:tcPr>
            <w:tcW w:w="4977" w:type="dxa"/>
          </w:tcPr>
          <w:p w14:paraId="13249C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8,346.81</w:t>
            </w:r>
          </w:p>
        </w:tc>
      </w:tr>
      <w:tr w14:paraId="03F96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05584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营业总成本</w:t>
            </w:r>
          </w:p>
        </w:tc>
        <w:tc>
          <w:tcPr>
            <w:tcW w:w="4977" w:type="dxa"/>
          </w:tcPr>
          <w:p w14:paraId="0D2E3E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6732.01</w:t>
            </w:r>
          </w:p>
        </w:tc>
      </w:tr>
      <w:tr w14:paraId="0BA3C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43063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利润总额</w:t>
            </w:r>
          </w:p>
        </w:tc>
        <w:tc>
          <w:tcPr>
            <w:tcW w:w="4977" w:type="dxa"/>
          </w:tcPr>
          <w:p w14:paraId="207409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1630.29</w:t>
            </w:r>
          </w:p>
        </w:tc>
      </w:tr>
      <w:tr w14:paraId="67A2B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5DD9A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净利润</w:t>
            </w:r>
          </w:p>
        </w:tc>
        <w:tc>
          <w:tcPr>
            <w:tcW w:w="4977" w:type="dxa"/>
          </w:tcPr>
          <w:p w14:paraId="046F88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1173.79</w:t>
            </w:r>
          </w:p>
        </w:tc>
      </w:tr>
      <w:tr w14:paraId="7505A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54A85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资产总额</w:t>
            </w:r>
          </w:p>
        </w:tc>
        <w:tc>
          <w:tcPr>
            <w:tcW w:w="4977" w:type="dxa"/>
          </w:tcPr>
          <w:p w14:paraId="71B08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78202.62</w:t>
            </w:r>
          </w:p>
        </w:tc>
      </w:tr>
      <w:tr w14:paraId="24FDF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466389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负债总额</w:t>
            </w:r>
          </w:p>
        </w:tc>
        <w:tc>
          <w:tcPr>
            <w:tcW w:w="4977" w:type="dxa"/>
          </w:tcPr>
          <w:p w14:paraId="0717E8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48741.65</w:t>
            </w:r>
          </w:p>
        </w:tc>
      </w:tr>
      <w:tr w14:paraId="229CB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6AA8D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所有者权益</w:t>
            </w:r>
          </w:p>
        </w:tc>
        <w:tc>
          <w:tcPr>
            <w:tcW w:w="4977" w:type="dxa"/>
          </w:tcPr>
          <w:p w14:paraId="50F0AA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29460.97</w:t>
            </w:r>
          </w:p>
        </w:tc>
      </w:tr>
    </w:tbl>
    <w:p w14:paraId="186CB8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执行情况</w:t>
      </w:r>
    </w:p>
    <w:p w14:paraId="0B323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</w:rPr>
        <w:t>1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.营业收入：本年预算16691.57万元，截至到2024年6月30日，完成50.01%。</w:t>
      </w:r>
    </w:p>
    <w:p w14:paraId="112101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2.利润总额：本年预算2758.23万元，截至到2024年6月30日，完成59.11%。</w:t>
      </w:r>
    </w:p>
    <w:p w14:paraId="5B4388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四、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eastAsia="zh-CN"/>
        </w:rPr>
        <w:t>中期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内发生的重</w:t>
      </w:r>
      <w:bookmarkStart w:id="0" w:name="_GoBack"/>
      <w:bookmarkEnd w:id="0"/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大事项及对企业的影响</w:t>
      </w:r>
    </w:p>
    <w:p w14:paraId="22BD65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3" w:firstLineChars="200"/>
        <w:jc w:val="left"/>
        <w:textAlignment w:val="baseline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无。</w:t>
      </w:r>
    </w:p>
    <w:sectPr>
      <w:pgSz w:w="11906" w:h="16838"/>
      <w:pgMar w:top="2098" w:right="1474" w:bottom="198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13CC2444"/>
    <w:rsid w:val="007E5379"/>
    <w:rsid w:val="008D18DC"/>
    <w:rsid w:val="00AC6AB4"/>
    <w:rsid w:val="00C455E3"/>
    <w:rsid w:val="00EA422D"/>
    <w:rsid w:val="09EC724C"/>
    <w:rsid w:val="0D6D5D2C"/>
    <w:rsid w:val="0DBB4DEE"/>
    <w:rsid w:val="13CC2444"/>
    <w:rsid w:val="143E4A1F"/>
    <w:rsid w:val="180477A4"/>
    <w:rsid w:val="181814F8"/>
    <w:rsid w:val="19560A59"/>
    <w:rsid w:val="1C496371"/>
    <w:rsid w:val="1E8E65A3"/>
    <w:rsid w:val="29D47C5C"/>
    <w:rsid w:val="2A4822AF"/>
    <w:rsid w:val="2D9F5C7A"/>
    <w:rsid w:val="2F9756FB"/>
    <w:rsid w:val="34740EBB"/>
    <w:rsid w:val="38684BF7"/>
    <w:rsid w:val="419C0824"/>
    <w:rsid w:val="42AB16FD"/>
    <w:rsid w:val="44244964"/>
    <w:rsid w:val="4F757C22"/>
    <w:rsid w:val="548D4732"/>
    <w:rsid w:val="57404164"/>
    <w:rsid w:val="5748675F"/>
    <w:rsid w:val="5E145AF2"/>
    <w:rsid w:val="5F372BCB"/>
    <w:rsid w:val="5F412942"/>
    <w:rsid w:val="60785E58"/>
    <w:rsid w:val="62314624"/>
    <w:rsid w:val="63AD7520"/>
    <w:rsid w:val="67B05FF3"/>
    <w:rsid w:val="6C417E4F"/>
    <w:rsid w:val="6E101659"/>
    <w:rsid w:val="7451111C"/>
    <w:rsid w:val="75D26FF0"/>
    <w:rsid w:val="775A30EF"/>
    <w:rsid w:val="7FC2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ind w:left="420" w:leftChars="200"/>
    </w:pPr>
  </w:style>
  <w:style w:type="paragraph" w:styleId="4">
    <w:name w:val="Body Text First Indent"/>
    <w:basedOn w:val="5"/>
    <w:qFormat/>
    <w:uiPriority w:val="0"/>
    <w:pPr>
      <w:ind w:firstLine="420" w:firstLineChars="100"/>
    </w:pPr>
  </w:style>
  <w:style w:type="paragraph" w:styleId="5">
    <w:name w:val="Body Text"/>
    <w:basedOn w:val="1"/>
    <w:qFormat/>
    <w:uiPriority w:val="0"/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681</Words>
  <Characters>786</Characters>
  <Lines>3</Lines>
  <Paragraphs>1</Paragraphs>
  <TotalTime>4</TotalTime>
  <ScaleCrop>false</ScaleCrop>
  <LinksUpToDate>false</LinksUpToDate>
  <CharactersWithSpaces>791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Administrator</cp:lastModifiedBy>
  <dcterms:modified xsi:type="dcterms:W3CDTF">2024-08-25T15:24:26Z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4B9B2CCDFD064146A7DE84AF312FD328_13</vt:lpwstr>
  </property>
</Properties>
</file>