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D65D64B">
      <w:pPr>
        <w:snapToGrid w:val="0"/>
        <w:spacing w:line="640" w:lineRule="exact"/>
        <w:jc w:val="center"/>
        <w:rPr>
          <w:rFonts w:ascii="方正小标宋简体" w:hAnsi="方正小标宋简体" w:eastAsia="方正小标宋简体" w:cs="方正小标宋简体"/>
          <w:b/>
          <w:bCs/>
          <w:sz w:val="44"/>
          <w:szCs w:val="44"/>
        </w:rPr>
      </w:pPr>
      <w:r>
        <w:rPr>
          <w:rFonts w:hint="eastAsia" w:ascii="方正小标宋简体" w:hAnsi="方正小标宋简体" w:eastAsia="方正小标宋简体" w:cs="方正小标宋简体"/>
          <w:b/>
          <w:bCs/>
          <w:sz w:val="44"/>
          <w:szCs w:val="44"/>
          <w:lang w:val="en-US" w:eastAsia="zh-CN"/>
        </w:rPr>
        <w:t>山东公用水务集团</w:t>
      </w:r>
      <w:r>
        <w:rPr>
          <w:rFonts w:hint="eastAsia" w:ascii="方正小标宋简体" w:hAnsi="方正小标宋简体" w:eastAsia="方正小标宋简体" w:cs="方正小标宋简体"/>
          <w:b/>
          <w:bCs/>
          <w:sz w:val="44"/>
          <w:szCs w:val="44"/>
        </w:rPr>
        <w:t xml:space="preserve">有限公司 </w:t>
      </w:r>
    </w:p>
    <w:p w14:paraId="14D27224">
      <w:pPr>
        <w:snapToGrid w:val="0"/>
        <w:spacing w:line="640" w:lineRule="exact"/>
        <w:jc w:val="center"/>
        <w:rPr>
          <w:rFonts w:hint="eastAsia" w:ascii="宋体" w:hAnsi="宋体" w:eastAsia="方正小标宋简体" w:cs="宋体"/>
          <w:sz w:val="24"/>
          <w:lang w:eastAsia="zh-CN"/>
        </w:rPr>
      </w:pPr>
      <w:r>
        <w:rPr>
          <w:rFonts w:hint="eastAsia" w:ascii="方正小标宋简体" w:hAnsi="方正小标宋简体" w:eastAsia="方正小标宋简体" w:cs="方正小标宋简体"/>
          <w:b/>
          <w:bCs/>
          <w:sz w:val="44"/>
          <w:szCs w:val="44"/>
        </w:rPr>
        <w:t>202</w:t>
      </w:r>
      <w:r>
        <w:rPr>
          <w:rFonts w:hint="eastAsia" w:ascii="方正小标宋简体" w:hAnsi="方正小标宋简体" w:eastAsia="方正小标宋简体" w:cs="方正小标宋简体"/>
          <w:b/>
          <w:bCs/>
          <w:sz w:val="44"/>
          <w:szCs w:val="44"/>
          <w:lang w:val="en-US" w:eastAsia="zh-CN"/>
        </w:rPr>
        <w:t>4</w:t>
      </w:r>
      <w:r>
        <w:rPr>
          <w:rFonts w:hint="eastAsia" w:ascii="方正小标宋简体" w:hAnsi="方正小标宋简体" w:eastAsia="方正小标宋简体" w:cs="方正小标宋简体"/>
          <w:b/>
          <w:bCs/>
          <w:sz w:val="44"/>
          <w:szCs w:val="44"/>
        </w:rPr>
        <w:t>年</w:t>
      </w:r>
      <w:r>
        <w:rPr>
          <w:rFonts w:hint="eastAsia" w:ascii="方正小标宋简体" w:hAnsi="方正小标宋简体" w:eastAsia="方正小标宋简体" w:cs="方正小标宋简体"/>
          <w:b/>
          <w:bCs/>
          <w:sz w:val="44"/>
          <w:szCs w:val="44"/>
          <w:lang w:val="en-US" w:eastAsia="zh-CN"/>
        </w:rPr>
        <w:t>中期</w:t>
      </w:r>
      <w:r>
        <w:rPr>
          <w:rFonts w:hint="eastAsia" w:ascii="方正小标宋简体" w:hAnsi="方正小标宋简体" w:eastAsia="方正小标宋简体" w:cs="方正小标宋简体"/>
          <w:b/>
          <w:bCs/>
          <w:sz w:val="44"/>
          <w:szCs w:val="44"/>
        </w:rPr>
        <w:t>财务重大信息公开</w:t>
      </w:r>
    </w:p>
    <w:p w14:paraId="2DCF7D9D">
      <w:pPr>
        <w:rPr>
          <w:rFonts w:ascii="方正仿宋简体" w:hAnsi="方正仿宋简体" w:eastAsia="方正仿宋简体" w:cs="方正仿宋简体"/>
          <w:b/>
          <w:bCs/>
          <w:sz w:val="32"/>
          <w:szCs w:val="32"/>
        </w:rPr>
      </w:pPr>
      <w:r>
        <w:rPr>
          <w:rFonts w:hint="eastAsia" w:ascii="方正仿宋简体" w:hAnsi="方正仿宋简体" w:eastAsia="方正仿宋简体" w:cs="方正仿宋简体"/>
          <w:b/>
          <w:bCs/>
          <w:sz w:val="32"/>
          <w:szCs w:val="32"/>
        </w:rPr>
        <w:t xml:space="preserve"> </w:t>
      </w:r>
    </w:p>
    <w:p w14:paraId="7CFC8EFD">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 xml:space="preserve">一、公司基本情况 </w:t>
      </w:r>
    </w:p>
    <w:p w14:paraId="1965ED42">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lang w:val="en-US" w:eastAsia="zh-CN"/>
        </w:rPr>
        <w:t>.公司</w:t>
      </w:r>
      <w:r>
        <w:rPr>
          <w:rFonts w:hint="eastAsia" w:ascii="方正仿宋简体" w:hAnsi="方正仿宋简体" w:eastAsia="方正仿宋简体" w:cs="方正仿宋简体"/>
          <w:b/>
          <w:bCs/>
          <w:sz w:val="32"/>
          <w:szCs w:val="32"/>
        </w:rPr>
        <w:t>名称：</w:t>
      </w:r>
      <w:r>
        <w:rPr>
          <w:rFonts w:hint="eastAsia" w:ascii="方正仿宋简体" w:hAnsi="方正仿宋简体" w:eastAsia="方正仿宋简体" w:cs="方正仿宋简体"/>
          <w:b/>
          <w:bCs/>
          <w:sz w:val="32"/>
          <w:szCs w:val="32"/>
          <w:lang w:val="en-US" w:eastAsia="zh-CN"/>
        </w:rPr>
        <w:t>山东公用水务集团</w:t>
      </w:r>
      <w:r>
        <w:rPr>
          <w:rFonts w:hint="eastAsia" w:ascii="方正仿宋简体" w:hAnsi="方正仿宋简体" w:eastAsia="方正仿宋简体" w:cs="方正仿宋简体"/>
          <w:b/>
          <w:bCs/>
          <w:sz w:val="32"/>
          <w:szCs w:val="32"/>
        </w:rPr>
        <w:t>有限公司</w:t>
      </w:r>
    </w:p>
    <w:p w14:paraId="3AA5CA3B">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2</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法定代表人：</w:t>
      </w:r>
      <w:r>
        <w:rPr>
          <w:rFonts w:hint="eastAsia" w:ascii="方正仿宋简体" w:hAnsi="方正仿宋简体" w:eastAsia="方正仿宋简体" w:cs="方正仿宋简体"/>
          <w:b/>
          <w:bCs/>
          <w:sz w:val="32"/>
          <w:szCs w:val="32"/>
          <w:lang w:val="en-US" w:eastAsia="zh-CN"/>
        </w:rPr>
        <w:t>王宗莉</w:t>
      </w:r>
    </w:p>
    <w:p w14:paraId="67F0D8A1">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3</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注册地址：山东省济宁市任城区红星中路</w:t>
      </w:r>
      <w:r>
        <w:rPr>
          <w:rFonts w:hint="default" w:ascii="Times New Roman" w:hAnsi="Times New Roman" w:eastAsia="方正仿宋简体" w:cs="Times New Roman"/>
          <w:b/>
          <w:bCs/>
          <w:sz w:val="32"/>
          <w:szCs w:val="32"/>
        </w:rPr>
        <w:t>23</w:t>
      </w:r>
      <w:r>
        <w:rPr>
          <w:rFonts w:hint="eastAsia" w:ascii="方正仿宋简体" w:hAnsi="方正仿宋简体" w:eastAsia="方正仿宋简体" w:cs="方正仿宋简体"/>
          <w:b/>
          <w:bCs/>
          <w:sz w:val="32"/>
          <w:szCs w:val="32"/>
        </w:rPr>
        <w:t>号</w:t>
      </w:r>
    </w:p>
    <w:p w14:paraId="7960215B">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4</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 xml:space="preserve">经营范围：自来水生产和供应；污水处理及其再生利用；水务行业的投资、建设、设计、施工、经营管理；水质化验；水务技术开发、技术咨询。（依法须经批准的项目，经相关部门批准后方可开展经营活动） </w:t>
      </w:r>
    </w:p>
    <w:p w14:paraId="314B0C3C">
      <w:pPr>
        <w:keepNext w:val="0"/>
        <w:keepLines w:val="0"/>
        <w:pageBreakBefore w:val="0"/>
        <w:widowControl w:val="0"/>
        <w:numPr>
          <w:ilvl w:val="0"/>
          <w:numId w:val="0"/>
        </w:numPr>
        <w:kinsoku/>
        <w:wordWrap/>
        <w:overflowPunct/>
        <w:topLinePunct w:val="0"/>
        <w:autoSpaceDE/>
        <w:autoSpaceDN/>
        <w:bidi w:val="0"/>
        <w:adjustRightInd/>
        <w:snapToGrid w:val="0"/>
        <w:spacing w:line="580" w:lineRule="exact"/>
        <w:ind w:firstLine="643" w:firstLineChars="200"/>
        <w:textAlignment w:val="auto"/>
        <w:rPr>
          <w:rFonts w:hint="eastAsia" w:ascii="方正仿宋简体" w:hAnsi="方正仿宋简体" w:eastAsia="方正仿宋简体" w:cs="方正仿宋简体"/>
          <w:b/>
          <w:bCs/>
          <w:sz w:val="32"/>
          <w:szCs w:val="32"/>
          <w:lang w:val="en-US" w:eastAsia="zh-CN"/>
        </w:rPr>
      </w:pPr>
      <w:r>
        <w:rPr>
          <w:rFonts w:hint="eastAsia" w:ascii="Times New Roman" w:hAnsi="Times New Roman" w:eastAsia="方正仿宋简体" w:cs="Times New Roman"/>
          <w:b/>
          <w:bCs/>
          <w:sz w:val="32"/>
          <w:szCs w:val="32"/>
          <w:lang w:val="en-US" w:eastAsia="zh-CN"/>
        </w:rPr>
        <w:t>5</w:t>
      </w:r>
      <w:r>
        <w:rPr>
          <w:rFonts w:hint="eastAsia" w:ascii="方正仿宋简体" w:hAnsi="方正仿宋简体" w:eastAsia="方正仿宋简体" w:cs="方正仿宋简体"/>
          <w:b/>
          <w:bCs/>
          <w:sz w:val="32"/>
          <w:szCs w:val="32"/>
          <w:lang w:val="en-US" w:eastAsia="zh-CN"/>
        </w:rPr>
        <w:t>.</w:t>
      </w:r>
      <w:r>
        <w:rPr>
          <w:rFonts w:hint="eastAsia" w:ascii="方正仿宋简体" w:hAnsi="方正仿宋简体" w:eastAsia="方正仿宋简体" w:cs="方正仿宋简体"/>
          <w:b/>
          <w:bCs/>
          <w:sz w:val="32"/>
          <w:szCs w:val="32"/>
        </w:rPr>
        <w:t>公司简介:山东公用水务集团有限公司是山东公用控股旗下专注于水资源循环利用和水生态环境保护事业的旗舰企业。公司成立于</w:t>
      </w:r>
      <w:r>
        <w:rPr>
          <w:rFonts w:hint="eastAsia" w:ascii="Times New Roman" w:hAnsi="Times New Roman" w:eastAsia="方正仿宋简体" w:cs="Times New Roman"/>
          <w:b/>
          <w:bCs/>
          <w:sz w:val="32"/>
          <w:szCs w:val="32"/>
        </w:rPr>
        <w:t>2019</w:t>
      </w:r>
      <w:r>
        <w:rPr>
          <w:rFonts w:hint="eastAsia" w:ascii="方正仿宋简体" w:hAnsi="方正仿宋简体" w:eastAsia="方正仿宋简体" w:cs="方正仿宋简体"/>
          <w:b/>
          <w:bCs/>
          <w:sz w:val="32"/>
          <w:szCs w:val="32"/>
        </w:rPr>
        <w:t>年，注册资金</w:t>
      </w:r>
      <w:r>
        <w:rPr>
          <w:rFonts w:hint="eastAsia" w:ascii="Times New Roman" w:hAnsi="Times New Roman" w:eastAsia="方正仿宋简体" w:cs="Times New Roman"/>
          <w:b/>
          <w:bCs/>
          <w:sz w:val="32"/>
          <w:szCs w:val="32"/>
        </w:rPr>
        <w:t>5</w:t>
      </w:r>
      <w:r>
        <w:rPr>
          <w:rFonts w:hint="eastAsia" w:ascii="方正仿宋简体" w:hAnsi="方正仿宋简体" w:eastAsia="方正仿宋简体" w:cs="方正仿宋简体"/>
          <w:b/>
          <w:bCs/>
          <w:sz w:val="32"/>
          <w:szCs w:val="32"/>
        </w:rPr>
        <w:t>亿元，是集水务行业投资、建设、设计、施工、经营管理，水务技术开发、技术咨询为一体的综合水务环境服务商。</w:t>
      </w:r>
      <w:r>
        <w:rPr>
          <w:rFonts w:hint="eastAsia" w:ascii="方正仿宋简体" w:hAnsi="方正仿宋简体" w:eastAsia="方正仿宋简体" w:cs="方正仿宋简体"/>
          <w:b/>
          <w:bCs/>
          <w:sz w:val="32"/>
          <w:szCs w:val="32"/>
          <w:lang w:val="en-US" w:eastAsia="zh-CN"/>
        </w:rPr>
        <w:t>截至目前，</w:t>
      </w:r>
      <w:r>
        <w:rPr>
          <w:rFonts w:hint="eastAsia" w:ascii="Times New Roman" w:hAnsi="Times New Roman" w:eastAsia="方正仿宋简体" w:cs="Times New Roman"/>
          <w:b/>
          <w:bCs/>
          <w:sz w:val="32"/>
          <w:szCs w:val="32"/>
          <w:lang w:val="en-US" w:eastAsia="zh-CN"/>
        </w:rPr>
        <w:t>公司合计权属供水厂21座，日供水能力41万立方米，污水厂18座，日</w:t>
      </w:r>
      <w:bookmarkStart w:id="0" w:name="_GoBack"/>
      <w:bookmarkEnd w:id="0"/>
      <w:r>
        <w:rPr>
          <w:rFonts w:hint="eastAsia" w:ascii="Times New Roman" w:hAnsi="Times New Roman" w:eastAsia="方正仿宋简体" w:cs="Times New Roman"/>
          <w:b/>
          <w:bCs/>
          <w:sz w:val="32"/>
          <w:szCs w:val="32"/>
          <w:lang w:val="en-US" w:eastAsia="zh-CN"/>
        </w:rPr>
        <w:t>处理污水能力66万立</w:t>
      </w:r>
      <w:r>
        <w:rPr>
          <w:rFonts w:hint="eastAsia" w:ascii="方正仿宋简体" w:hAnsi="方正仿宋简体" w:eastAsia="方正仿宋简体" w:cs="方正仿宋简体"/>
          <w:b/>
          <w:bCs/>
          <w:sz w:val="32"/>
          <w:szCs w:val="32"/>
          <w:lang w:eastAsia="zh-CN"/>
        </w:rPr>
        <w:t>方米，</w:t>
      </w:r>
      <w:r>
        <w:rPr>
          <w:rFonts w:hint="eastAsia" w:ascii="方正仿宋简体" w:hAnsi="方正仿宋简体" w:eastAsia="方正仿宋简体" w:cs="方正仿宋简体"/>
          <w:b/>
          <w:bCs/>
          <w:sz w:val="32"/>
          <w:szCs w:val="32"/>
          <w:lang w:val="en-US" w:eastAsia="zh-CN"/>
        </w:rPr>
        <w:t>通过提标改造，出水水质指标均达到准Ⅳ类标准，</w:t>
      </w:r>
      <w:r>
        <w:rPr>
          <w:rFonts w:hint="eastAsia" w:ascii="方正仿宋简体" w:hAnsi="方正仿宋简体" w:eastAsia="方正仿宋简体" w:cs="方正仿宋简体"/>
          <w:b/>
          <w:bCs/>
          <w:sz w:val="32"/>
          <w:szCs w:val="32"/>
          <w:lang w:eastAsia="zh-CN"/>
        </w:rPr>
        <w:t>服务人口</w:t>
      </w:r>
      <w:r>
        <w:rPr>
          <w:rFonts w:hint="eastAsia" w:ascii="方正仿宋简体" w:hAnsi="方正仿宋简体" w:eastAsia="方正仿宋简体" w:cs="方正仿宋简体"/>
          <w:b/>
          <w:bCs/>
          <w:sz w:val="32"/>
          <w:szCs w:val="32"/>
          <w:lang w:val="en-US" w:eastAsia="zh-CN"/>
        </w:rPr>
        <w:t>约</w:t>
      </w:r>
      <w:r>
        <w:rPr>
          <w:rFonts w:hint="eastAsia" w:ascii="Times New Roman" w:hAnsi="Times New Roman" w:eastAsia="方正仿宋简体" w:cs="Times New Roman"/>
          <w:b/>
          <w:bCs/>
          <w:sz w:val="32"/>
          <w:szCs w:val="32"/>
          <w:lang w:val="en-US" w:eastAsia="zh-CN"/>
        </w:rPr>
        <w:t>400万</w:t>
      </w:r>
      <w:r>
        <w:rPr>
          <w:rFonts w:hint="eastAsia" w:ascii="方正仿宋简体" w:hAnsi="方正仿宋简体" w:eastAsia="方正仿宋简体" w:cs="方正仿宋简体"/>
          <w:b/>
          <w:bCs/>
          <w:sz w:val="32"/>
          <w:szCs w:val="32"/>
          <w:lang w:val="en-US" w:eastAsia="zh-CN"/>
        </w:rPr>
        <w:t>人</w:t>
      </w:r>
      <w:r>
        <w:rPr>
          <w:rFonts w:hint="eastAsia" w:ascii="方正仿宋简体" w:hAnsi="方正仿宋简体" w:eastAsia="方正仿宋简体" w:cs="方正仿宋简体"/>
          <w:b/>
          <w:bCs/>
          <w:sz w:val="32"/>
          <w:szCs w:val="32"/>
          <w:lang w:eastAsia="zh-CN"/>
        </w:rPr>
        <w:t>。</w:t>
      </w:r>
      <w:r>
        <w:rPr>
          <w:rFonts w:hint="eastAsia" w:ascii="Times New Roman" w:hAnsi="Times New Roman" w:eastAsia="方正仿宋简体" w:cs="Times New Roman"/>
          <w:b/>
          <w:bCs/>
          <w:sz w:val="32"/>
          <w:szCs w:val="32"/>
          <w:lang w:val="en-US" w:eastAsia="zh-CN"/>
        </w:rPr>
        <w:t>2023年，在集团公司的鼎力支持下，公司成功引入世界五百强、全球环境发展龙头企业--苏伊士环境集团为合作主体，共同建设运营曲阜市陵城10万方/日污水处理厂项目，在此基础上，双方不断拓宽合作范围及产业领域，为公司建设成为“鲁南水务行业发展标杆”及“全国水务领先水务行业综合服务商”奠定了坚实基础</w:t>
      </w:r>
      <w:r>
        <w:rPr>
          <w:rFonts w:hint="eastAsia" w:ascii="方正仿宋简体" w:hAnsi="方正仿宋简体" w:eastAsia="方正仿宋简体" w:cs="方正仿宋简体"/>
          <w:b/>
          <w:bCs/>
          <w:sz w:val="32"/>
          <w:szCs w:val="32"/>
          <w:lang w:val="en-US" w:eastAsia="zh-CN"/>
        </w:rPr>
        <w:t>。</w:t>
      </w:r>
    </w:p>
    <w:p w14:paraId="50E35260">
      <w:pPr>
        <w:snapToGrid w:val="0"/>
        <w:spacing w:line="580" w:lineRule="exact"/>
        <w:ind w:firstLine="643" w:firstLineChars="200"/>
        <w:rPr>
          <w:rFonts w:hint="eastAsia" w:ascii="方正黑体简体" w:hAnsi="方正黑体简体" w:eastAsia="方正黑体简体" w:cs="方正黑体简体"/>
          <w:b/>
          <w:bCs/>
          <w:sz w:val="32"/>
          <w:szCs w:val="32"/>
          <w:lang w:val="en-US" w:eastAsia="zh-CN"/>
        </w:rPr>
      </w:pPr>
      <w:r>
        <w:rPr>
          <w:rFonts w:hint="eastAsia" w:ascii="方正黑体简体" w:hAnsi="方正黑体简体" w:eastAsia="方正黑体简体" w:cs="方正黑体简体"/>
          <w:b/>
          <w:bCs/>
          <w:sz w:val="32"/>
          <w:szCs w:val="32"/>
        </w:rPr>
        <w:t>二、主要会计数据和财务指标</w:t>
      </w:r>
      <w:r>
        <w:rPr>
          <w:rFonts w:hint="eastAsia" w:ascii="方正黑体简体" w:hAnsi="方正黑体简体" w:eastAsia="方正黑体简体" w:cs="方正黑体简体"/>
          <w:sz w:val="32"/>
          <w:szCs w:val="32"/>
        </w:rPr>
        <w:t>（截至到</w:t>
      </w:r>
      <w:r>
        <w:rPr>
          <w:rFonts w:hint="eastAsia" w:ascii="Times New Roman" w:hAnsi="Times New Roman" w:eastAsia="方正仿宋简体" w:cs="Times New Roman"/>
          <w:b/>
          <w:bCs/>
          <w:sz w:val="32"/>
          <w:szCs w:val="32"/>
          <w:lang w:val="en-US" w:eastAsia="zh-CN"/>
        </w:rPr>
        <w:t>2024年6月30日</w:t>
      </w:r>
      <w:r>
        <w:rPr>
          <w:rFonts w:hint="eastAsia" w:ascii="方正黑体简体" w:hAnsi="方正黑体简体" w:eastAsia="方正黑体简体" w:cs="方正黑体简体"/>
          <w:sz w:val="32"/>
          <w:szCs w:val="32"/>
        </w:rPr>
        <w:t>）</w:t>
      </w:r>
    </w:p>
    <w:p w14:paraId="6E7F5FE2">
      <w:pPr>
        <w:ind w:firstLine="6400" w:firstLineChars="20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sz w:val="32"/>
          <w:szCs w:val="32"/>
          <w:lang w:eastAsia="zh-CN"/>
        </w:rPr>
        <w:t>单</w:t>
      </w:r>
      <w:r>
        <w:rPr>
          <w:rFonts w:hint="eastAsia" w:ascii="方正黑体简体" w:hAnsi="方正黑体简体" w:eastAsia="方正黑体简体" w:cs="方正黑体简体"/>
          <w:sz w:val="32"/>
          <w:szCs w:val="32"/>
        </w:rPr>
        <w:t>位： 万元</w:t>
      </w:r>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151"/>
        <w:gridCol w:w="4379"/>
      </w:tblGrid>
      <w:tr w14:paraId="41E6C5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1" w:type="dxa"/>
          </w:tcPr>
          <w:p w14:paraId="1E92C36B">
            <w:pPr>
              <w:jc w:val="center"/>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营业总收入</w:t>
            </w:r>
          </w:p>
        </w:tc>
        <w:tc>
          <w:tcPr>
            <w:tcW w:w="4379" w:type="dxa"/>
            <w:vAlign w:val="top"/>
          </w:tcPr>
          <w:p w14:paraId="53DE0ACF">
            <w:pPr>
              <w:snapToGrid w:val="0"/>
              <w:spacing w:line="580" w:lineRule="exact"/>
              <w:ind w:firstLine="643" w:firstLineChars="200"/>
              <w:jc w:val="center"/>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43329</w:t>
            </w:r>
          </w:p>
        </w:tc>
      </w:tr>
      <w:tr w14:paraId="368F3D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1" w:type="dxa"/>
          </w:tcPr>
          <w:p w14:paraId="5260FA8D">
            <w:pPr>
              <w:jc w:val="center"/>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营业总成本</w:t>
            </w:r>
          </w:p>
        </w:tc>
        <w:tc>
          <w:tcPr>
            <w:tcW w:w="4379" w:type="dxa"/>
            <w:vAlign w:val="top"/>
          </w:tcPr>
          <w:p w14:paraId="4C319930">
            <w:pPr>
              <w:snapToGrid w:val="0"/>
              <w:spacing w:line="580" w:lineRule="exact"/>
              <w:ind w:firstLine="643" w:firstLineChars="200"/>
              <w:jc w:val="center"/>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37993</w:t>
            </w:r>
          </w:p>
        </w:tc>
      </w:tr>
      <w:tr w14:paraId="1020FD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1" w:type="dxa"/>
          </w:tcPr>
          <w:p w14:paraId="6A29D150">
            <w:pPr>
              <w:jc w:val="center"/>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利润总额</w:t>
            </w:r>
          </w:p>
        </w:tc>
        <w:tc>
          <w:tcPr>
            <w:tcW w:w="4379" w:type="dxa"/>
            <w:vAlign w:val="top"/>
          </w:tcPr>
          <w:p w14:paraId="1880B2CF">
            <w:pPr>
              <w:snapToGrid w:val="0"/>
              <w:spacing w:line="580" w:lineRule="exact"/>
              <w:ind w:firstLine="643" w:firstLineChars="200"/>
              <w:jc w:val="center"/>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5,740</w:t>
            </w:r>
          </w:p>
        </w:tc>
      </w:tr>
      <w:tr w14:paraId="615DF7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1" w:type="dxa"/>
          </w:tcPr>
          <w:p w14:paraId="520DC86C">
            <w:pPr>
              <w:jc w:val="center"/>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净利润</w:t>
            </w:r>
          </w:p>
        </w:tc>
        <w:tc>
          <w:tcPr>
            <w:tcW w:w="4379" w:type="dxa"/>
            <w:vAlign w:val="top"/>
          </w:tcPr>
          <w:p w14:paraId="2014431C">
            <w:pPr>
              <w:snapToGrid w:val="0"/>
              <w:spacing w:line="580" w:lineRule="exact"/>
              <w:ind w:firstLine="643" w:firstLineChars="200"/>
              <w:jc w:val="center"/>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4,059</w:t>
            </w:r>
          </w:p>
        </w:tc>
      </w:tr>
      <w:tr w14:paraId="75B3E6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1" w:type="dxa"/>
          </w:tcPr>
          <w:p w14:paraId="4EC9435F">
            <w:pPr>
              <w:jc w:val="center"/>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资产总额</w:t>
            </w:r>
          </w:p>
        </w:tc>
        <w:tc>
          <w:tcPr>
            <w:tcW w:w="4379" w:type="dxa"/>
            <w:vAlign w:val="top"/>
          </w:tcPr>
          <w:p w14:paraId="60811CB4">
            <w:pPr>
              <w:snapToGrid w:val="0"/>
              <w:spacing w:line="580" w:lineRule="exact"/>
              <w:ind w:firstLine="643" w:firstLineChars="200"/>
              <w:jc w:val="center"/>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564,776</w:t>
            </w:r>
          </w:p>
        </w:tc>
      </w:tr>
      <w:tr w14:paraId="68012E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1" w:type="dxa"/>
          </w:tcPr>
          <w:p w14:paraId="04D0FE96">
            <w:pPr>
              <w:jc w:val="center"/>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负债总额</w:t>
            </w:r>
          </w:p>
        </w:tc>
        <w:tc>
          <w:tcPr>
            <w:tcW w:w="4379" w:type="dxa"/>
            <w:vAlign w:val="top"/>
          </w:tcPr>
          <w:p w14:paraId="0DB07057">
            <w:pPr>
              <w:snapToGrid w:val="0"/>
              <w:spacing w:line="580" w:lineRule="exact"/>
              <w:ind w:firstLine="643" w:firstLineChars="200"/>
              <w:jc w:val="center"/>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425,401</w:t>
            </w:r>
          </w:p>
        </w:tc>
      </w:tr>
      <w:tr w14:paraId="7D44AD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51" w:type="dxa"/>
          </w:tcPr>
          <w:p w14:paraId="42EC54D6">
            <w:pPr>
              <w:jc w:val="center"/>
              <w:rPr>
                <w:rFonts w:ascii="方正黑体简体" w:hAnsi="方正黑体简体" w:eastAsia="方正黑体简体" w:cs="方正黑体简体"/>
                <w:sz w:val="32"/>
                <w:szCs w:val="32"/>
              </w:rPr>
            </w:pPr>
            <w:r>
              <w:rPr>
                <w:rFonts w:hint="eastAsia" w:ascii="方正黑体简体" w:hAnsi="方正黑体简体" w:eastAsia="方正黑体简体" w:cs="方正黑体简体"/>
                <w:sz w:val="32"/>
                <w:szCs w:val="32"/>
              </w:rPr>
              <w:t>所有者权益</w:t>
            </w:r>
          </w:p>
        </w:tc>
        <w:tc>
          <w:tcPr>
            <w:tcW w:w="4379" w:type="dxa"/>
            <w:vAlign w:val="top"/>
          </w:tcPr>
          <w:p w14:paraId="6B780981">
            <w:pPr>
              <w:snapToGrid w:val="0"/>
              <w:spacing w:line="580" w:lineRule="exact"/>
              <w:ind w:firstLine="643" w:firstLineChars="200"/>
              <w:jc w:val="center"/>
              <w:rPr>
                <w:rFonts w:hint="eastAsia"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139,375</w:t>
            </w:r>
          </w:p>
        </w:tc>
      </w:tr>
    </w:tbl>
    <w:p w14:paraId="603D6B5B">
      <w:pPr>
        <w:snapToGrid w:val="0"/>
        <w:spacing w:line="580" w:lineRule="exact"/>
        <w:ind w:firstLine="643" w:firstLineChars="200"/>
        <w:rPr>
          <w:rFonts w:ascii="方正黑体简体" w:hAnsi="方正黑体简体" w:eastAsia="方正黑体简体" w:cs="方正黑体简体"/>
          <w:b/>
          <w:bCs/>
          <w:sz w:val="32"/>
          <w:szCs w:val="32"/>
        </w:rPr>
      </w:pPr>
      <w:r>
        <w:rPr>
          <w:rFonts w:hint="eastAsia" w:ascii="方正黑体简体" w:hAnsi="方正黑体简体" w:eastAsia="方正黑体简体" w:cs="方正黑体简体"/>
          <w:b/>
          <w:bCs/>
          <w:sz w:val="32"/>
          <w:szCs w:val="32"/>
        </w:rPr>
        <w:t>三、财务预算执行情况</w:t>
      </w:r>
    </w:p>
    <w:p w14:paraId="7E0ED295">
      <w:pPr>
        <w:snapToGrid w:val="0"/>
        <w:spacing w:line="580" w:lineRule="exact"/>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1.</w:t>
      </w:r>
      <w:r>
        <w:rPr>
          <w:rFonts w:hint="eastAsia" w:ascii="方正仿宋简体" w:hAnsi="方正仿宋简体" w:eastAsia="方正仿宋简体" w:cs="方正仿宋简体"/>
          <w:b/>
          <w:bCs/>
          <w:sz w:val="32"/>
          <w:szCs w:val="32"/>
        </w:rPr>
        <w:t>营业收入：本年预算</w:t>
      </w:r>
      <w:r>
        <w:rPr>
          <w:rFonts w:hint="eastAsia" w:ascii="Times New Roman" w:hAnsi="Times New Roman" w:eastAsia="方正仿宋简体" w:cs="Times New Roman"/>
          <w:b/>
          <w:bCs/>
          <w:sz w:val="32"/>
          <w:szCs w:val="32"/>
          <w:lang w:val="en-US" w:eastAsia="zh-CN"/>
        </w:rPr>
        <w:t>85188.03</w:t>
      </w:r>
      <w:r>
        <w:rPr>
          <w:rFonts w:hint="eastAsia" w:ascii="方正仿宋简体" w:hAnsi="方正仿宋简体" w:eastAsia="方正仿宋简体" w:cs="方正仿宋简体"/>
          <w:b/>
          <w:bCs/>
          <w:sz w:val="32"/>
          <w:szCs w:val="32"/>
        </w:rPr>
        <w:t>万元，截至到</w:t>
      </w:r>
      <w:r>
        <w:rPr>
          <w:rFonts w:hint="eastAsia" w:ascii="Times New Roman" w:hAnsi="Times New Roman" w:eastAsia="方正仿宋简体" w:cs="Times New Roman"/>
          <w:b/>
          <w:bCs/>
          <w:sz w:val="32"/>
          <w:szCs w:val="32"/>
          <w:lang w:val="en-US" w:eastAsia="zh-CN"/>
        </w:rPr>
        <w:t>2024年6月30日</w:t>
      </w:r>
      <w:r>
        <w:rPr>
          <w:rFonts w:hint="eastAsia" w:ascii="方正仿宋简体" w:hAnsi="方正仿宋简体" w:eastAsia="方正仿宋简体" w:cs="方正仿宋简体"/>
          <w:b/>
          <w:bCs/>
          <w:sz w:val="32"/>
          <w:szCs w:val="32"/>
        </w:rPr>
        <w:t>，完成</w:t>
      </w:r>
      <w:r>
        <w:rPr>
          <w:rFonts w:hint="eastAsia" w:ascii="Times New Roman" w:hAnsi="Times New Roman" w:eastAsia="方正仿宋简体" w:cs="Times New Roman"/>
          <w:b/>
          <w:bCs/>
          <w:sz w:val="32"/>
          <w:szCs w:val="32"/>
          <w:lang w:val="en-US" w:eastAsia="zh-CN"/>
        </w:rPr>
        <w:t>50.86%</w:t>
      </w:r>
      <w:r>
        <w:rPr>
          <w:rFonts w:hint="eastAsia" w:ascii="方正仿宋简体" w:hAnsi="方正仿宋简体" w:eastAsia="方正仿宋简体" w:cs="方正仿宋简体"/>
          <w:b/>
          <w:bCs/>
          <w:sz w:val="32"/>
          <w:szCs w:val="32"/>
        </w:rPr>
        <w:t>。</w:t>
      </w:r>
    </w:p>
    <w:p w14:paraId="16ED7D32">
      <w:pPr>
        <w:snapToGrid w:val="0"/>
        <w:spacing w:line="580" w:lineRule="exact"/>
        <w:ind w:firstLine="643" w:firstLineChars="200"/>
        <w:rPr>
          <w:rFonts w:ascii="方正仿宋简体" w:hAnsi="方正仿宋简体" w:eastAsia="方正仿宋简体" w:cs="方正仿宋简体"/>
          <w:b/>
          <w:bCs/>
          <w:sz w:val="32"/>
          <w:szCs w:val="32"/>
        </w:rPr>
      </w:pPr>
      <w:r>
        <w:rPr>
          <w:rFonts w:hint="eastAsia" w:ascii="Times New Roman" w:hAnsi="Times New Roman" w:eastAsia="方正仿宋简体" w:cs="Times New Roman"/>
          <w:b/>
          <w:bCs/>
          <w:sz w:val="32"/>
          <w:szCs w:val="32"/>
          <w:lang w:val="en-US" w:eastAsia="zh-CN"/>
        </w:rPr>
        <w:t>2.</w:t>
      </w:r>
      <w:r>
        <w:rPr>
          <w:rFonts w:hint="eastAsia" w:ascii="方正仿宋简体" w:hAnsi="方正仿宋简体" w:eastAsia="方正仿宋简体" w:cs="方正仿宋简体"/>
          <w:b/>
          <w:bCs/>
          <w:sz w:val="32"/>
          <w:szCs w:val="32"/>
        </w:rPr>
        <w:t>利润总额：本年预算</w:t>
      </w:r>
      <w:r>
        <w:rPr>
          <w:rFonts w:hint="eastAsia" w:ascii="Times New Roman" w:hAnsi="Times New Roman" w:eastAsia="方正仿宋简体" w:cs="Times New Roman"/>
          <w:b/>
          <w:bCs/>
          <w:sz w:val="32"/>
          <w:szCs w:val="32"/>
          <w:lang w:val="en-US" w:eastAsia="zh-CN"/>
        </w:rPr>
        <w:t>9074.98</w:t>
      </w:r>
      <w:r>
        <w:rPr>
          <w:rFonts w:hint="eastAsia" w:ascii="方正仿宋简体" w:hAnsi="方正仿宋简体" w:eastAsia="方正仿宋简体" w:cs="方正仿宋简体"/>
          <w:b/>
          <w:bCs/>
          <w:sz w:val="32"/>
          <w:szCs w:val="32"/>
        </w:rPr>
        <w:t>万元，截至到</w:t>
      </w:r>
      <w:r>
        <w:rPr>
          <w:rFonts w:hint="eastAsia" w:ascii="Times New Roman" w:hAnsi="Times New Roman" w:eastAsia="方正仿宋简体" w:cs="Times New Roman"/>
          <w:b/>
          <w:bCs/>
          <w:sz w:val="32"/>
          <w:szCs w:val="32"/>
          <w:lang w:val="en-US" w:eastAsia="zh-CN"/>
        </w:rPr>
        <w:t>2024年6月30日</w:t>
      </w:r>
      <w:r>
        <w:rPr>
          <w:rFonts w:hint="eastAsia" w:ascii="方正仿宋简体" w:hAnsi="方正仿宋简体" w:eastAsia="方正仿宋简体" w:cs="方正仿宋简体"/>
          <w:b/>
          <w:bCs/>
          <w:sz w:val="32"/>
          <w:szCs w:val="32"/>
        </w:rPr>
        <w:t>，完成</w:t>
      </w:r>
      <w:r>
        <w:rPr>
          <w:rFonts w:hint="eastAsia" w:ascii="Times New Roman" w:hAnsi="Times New Roman" w:eastAsia="方正仿宋简体" w:cs="Times New Roman"/>
          <w:b/>
          <w:bCs/>
          <w:sz w:val="32"/>
          <w:szCs w:val="32"/>
          <w:lang w:val="en-US" w:eastAsia="zh-CN"/>
        </w:rPr>
        <w:t>63.25%</w:t>
      </w:r>
      <w:r>
        <w:rPr>
          <w:rFonts w:hint="eastAsia" w:ascii="方正仿宋简体" w:hAnsi="方正仿宋简体" w:eastAsia="方正仿宋简体" w:cs="方正仿宋简体"/>
          <w:b/>
          <w:bCs/>
          <w:sz w:val="32"/>
          <w:szCs w:val="32"/>
        </w:rPr>
        <w:t>。</w:t>
      </w:r>
    </w:p>
    <w:p w14:paraId="542F9124">
      <w:pPr>
        <w:snapToGrid w:val="0"/>
        <w:spacing w:line="580" w:lineRule="exact"/>
        <w:ind w:firstLine="643" w:firstLineChars="200"/>
        <w:rPr>
          <w:rFonts w:ascii="黑体" w:hAnsi="黑体" w:eastAsia="黑体" w:cs="黑体"/>
          <w:b/>
          <w:bCs/>
          <w:sz w:val="32"/>
          <w:szCs w:val="32"/>
        </w:rPr>
      </w:pPr>
      <w:r>
        <w:rPr>
          <w:rFonts w:hint="eastAsia" w:ascii="黑体" w:hAnsi="黑体" w:eastAsia="黑体" w:cs="黑体"/>
          <w:b/>
          <w:bCs/>
          <w:sz w:val="32"/>
          <w:szCs w:val="32"/>
        </w:rPr>
        <w:t>四、</w:t>
      </w:r>
      <w:r>
        <w:rPr>
          <w:rFonts w:hint="eastAsia" w:ascii="黑体" w:hAnsi="黑体" w:eastAsia="黑体" w:cs="黑体"/>
          <w:b/>
          <w:bCs/>
          <w:sz w:val="32"/>
          <w:szCs w:val="32"/>
          <w:lang w:eastAsia="zh-CN"/>
        </w:rPr>
        <w:t>中期</w:t>
      </w:r>
      <w:r>
        <w:rPr>
          <w:rFonts w:hint="eastAsia" w:ascii="黑体" w:hAnsi="黑体" w:eastAsia="黑体" w:cs="黑体"/>
          <w:b/>
          <w:bCs/>
          <w:sz w:val="32"/>
          <w:szCs w:val="32"/>
        </w:rPr>
        <w:t>内发生的重大事项及对企业的影响</w:t>
      </w:r>
    </w:p>
    <w:p w14:paraId="09E3861F">
      <w:pPr>
        <w:snapToGrid w:val="0"/>
        <w:spacing w:line="580" w:lineRule="exact"/>
        <w:ind w:firstLine="643" w:firstLineChars="200"/>
        <w:rPr>
          <w:rFonts w:hint="default" w:ascii="Times New Roman" w:hAnsi="Times New Roman" w:eastAsia="方正仿宋简体" w:cs="Times New Roman"/>
          <w:b/>
          <w:bCs/>
          <w:sz w:val="32"/>
          <w:szCs w:val="32"/>
          <w:lang w:val="en-US" w:eastAsia="zh-CN"/>
        </w:rPr>
      </w:pPr>
      <w:r>
        <w:rPr>
          <w:rFonts w:hint="eastAsia" w:ascii="Times New Roman" w:hAnsi="Times New Roman" w:eastAsia="方正仿宋简体" w:cs="Times New Roman"/>
          <w:b/>
          <w:bCs/>
          <w:sz w:val="32"/>
          <w:szCs w:val="32"/>
          <w:lang w:val="en-US" w:eastAsia="zh-CN"/>
        </w:rPr>
        <w:t>无。</w:t>
      </w:r>
    </w:p>
    <w:sectPr>
      <w:pgSz w:w="11906" w:h="16838"/>
      <w:pgMar w:top="2098" w:right="1474" w:bottom="1587" w:left="158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script"/>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13CC2444"/>
    <w:rsid w:val="001410B8"/>
    <w:rsid w:val="00332EF0"/>
    <w:rsid w:val="003F77BE"/>
    <w:rsid w:val="007E3428"/>
    <w:rsid w:val="007E5379"/>
    <w:rsid w:val="00AC6AB4"/>
    <w:rsid w:val="00BC3130"/>
    <w:rsid w:val="00C455E3"/>
    <w:rsid w:val="00C65B77"/>
    <w:rsid w:val="00D321DA"/>
    <w:rsid w:val="00EA422D"/>
    <w:rsid w:val="00FC157F"/>
    <w:rsid w:val="06DF3B7E"/>
    <w:rsid w:val="09EC724C"/>
    <w:rsid w:val="0C301E0D"/>
    <w:rsid w:val="0D6D5D2C"/>
    <w:rsid w:val="13CC2444"/>
    <w:rsid w:val="141C4B30"/>
    <w:rsid w:val="180477A4"/>
    <w:rsid w:val="18F16C5C"/>
    <w:rsid w:val="19560A59"/>
    <w:rsid w:val="1C496371"/>
    <w:rsid w:val="1C5B3DCF"/>
    <w:rsid w:val="1DB14616"/>
    <w:rsid w:val="29D47C5C"/>
    <w:rsid w:val="2A4822AF"/>
    <w:rsid w:val="2CB31F06"/>
    <w:rsid w:val="2D9F5C7A"/>
    <w:rsid w:val="31540A61"/>
    <w:rsid w:val="33A670F3"/>
    <w:rsid w:val="360E65F9"/>
    <w:rsid w:val="40E1715D"/>
    <w:rsid w:val="419C0824"/>
    <w:rsid w:val="44244964"/>
    <w:rsid w:val="461300B7"/>
    <w:rsid w:val="4FF95C92"/>
    <w:rsid w:val="57404164"/>
    <w:rsid w:val="5C3F1FC0"/>
    <w:rsid w:val="5C83014D"/>
    <w:rsid w:val="5E145AF2"/>
    <w:rsid w:val="5F372BCB"/>
    <w:rsid w:val="5F412942"/>
    <w:rsid w:val="60785E58"/>
    <w:rsid w:val="678437B5"/>
    <w:rsid w:val="693919DF"/>
    <w:rsid w:val="70C1078D"/>
    <w:rsid w:val="7451111C"/>
    <w:rsid w:val="75D26FF0"/>
    <w:rsid w:val="775A30EF"/>
    <w:rsid w:val="7D952807"/>
    <w:rsid w:val="7FC25A17"/>
    <w:rsid w:val="7FC82E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autoRedefine/>
    <w:semiHidden/>
    <w:unhideWhenUsed/>
    <w:qFormat/>
    <w:uiPriority w:val="1"/>
  </w:style>
  <w:style w:type="table" w:default="1" w:styleId="4">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qFormat/>
    <w:uiPriority w:val="0"/>
    <w:pPr>
      <w:tabs>
        <w:tab w:val="center" w:pos="4153"/>
        <w:tab w:val="right" w:pos="8306"/>
      </w:tabs>
      <w:snapToGrid w:val="0"/>
      <w:jc w:val="left"/>
    </w:pPr>
    <w:rPr>
      <w:sz w:val="18"/>
      <w:szCs w:val="18"/>
    </w:rPr>
  </w:style>
  <w:style w:type="paragraph" w:styleId="3">
    <w:name w:val="header"/>
    <w:basedOn w:val="1"/>
    <w:link w:val="8"/>
    <w:autoRedefine/>
    <w:qFormat/>
    <w:uiPriority w:val="0"/>
    <w:pPr>
      <w:pBdr>
        <w:bottom w:val="single" w:color="auto" w:sz="6" w:space="1"/>
      </w:pBdr>
      <w:tabs>
        <w:tab w:val="center" w:pos="4153"/>
        <w:tab w:val="right" w:pos="8306"/>
      </w:tabs>
      <w:snapToGrid w:val="0"/>
      <w:jc w:val="center"/>
    </w:pPr>
    <w:rPr>
      <w:sz w:val="18"/>
      <w:szCs w:val="18"/>
    </w:rPr>
  </w:style>
  <w:style w:type="table" w:styleId="5">
    <w:name w:val="Table Grid"/>
    <w:basedOn w:val="4"/>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Emphasis"/>
    <w:basedOn w:val="6"/>
    <w:qFormat/>
    <w:uiPriority w:val="0"/>
    <w:rPr>
      <w:i/>
    </w:rPr>
  </w:style>
  <w:style w:type="character" w:customStyle="1" w:styleId="8">
    <w:name w:val="页眉 字符"/>
    <w:basedOn w:val="6"/>
    <w:link w:val="3"/>
    <w:autoRedefine/>
    <w:qFormat/>
    <w:uiPriority w:val="0"/>
    <w:rPr>
      <w:kern w:val="2"/>
      <w:sz w:val="18"/>
      <w:szCs w:val="18"/>
    </w:rPr>
  </w:style>
  <w:style w:type="character" w:customStyle="1" w:styleId="9">
    <w:name w:val="页脚 字符"/>
    <w:basedOn w:val="6"/>
    <w:link w:val="2"/>
    <w:autoRedefine/>
    <w:qFormat/>
    <w:uiPriority w:val="0"/>
    <w:rPr>
      <w:kern w:val="2"/>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664</Words>
  <Characters>758</Characters>
  <Lines>5</Lines>
  <Paragraphs>1</Paragraphs>
  <TotalTime>3</TotalTime>
  <ScaleCrop>false</ScaleCrop>
  <LinksUpToDate>false</LinksUpToDate>
  <CharactersWithSpaces>763</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2022-06-30T02:09:00Z</dcterms:created>
  <dc:creator>Mr.X</dc:creator>
  <cp:lastModifiedBy>Administrator</cp:lastModifiedBy>
  <dcterms:modified xsi:type="dcterms:W3CDTF">2024-08-25T15:14:28Z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2DEAA57F17E44F54B3B88DDE4BFD1D35_13</vt:lpwstr>
  </property>
</Properties>
</file>