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C7375">
      <w:pPr>
        <w:snapToGrid w:val="0"/>
        <w:spacing w:line="64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 xml:space="preserve">邹城公用水务有限公司 </w:t>
      </w:r>
    </w:p>
    <w:p w14:paraId="68963AA6">
      <w:pPr>
        <w:snapToGrid w:val="0"/>
        <w:spacing w:line="640" w:lineRule="exact"/>
        <w:jc w:val="center"/>
        <w:rPr>
          <w:rFonts w:ascii="Times New Roman" w:hAnsi="Times New Roman" w:eastAsia="方正小标宋简体" w:cs="Times New Roman"/>
          <w:sz w:val="2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2024年中期财务重大信息公开</w:t>
      </w:r>
    </w:p>
    <w:p w14:paraId="6654E8EA">
      <w:pPr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 w14:paraId="62784773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 w14:paraId="3B59FCF1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1.公司名称：邹城公用水务有限公司</w:t>
      </w:r>
    </w:p>
    <w:p w14:paraId="06496E30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2.法定代表人：刘旭</w:t>
      </w:r>
    </w:p>
    <w:p w14:paraId="4A14E999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3.注册地址：邹城市西外环路8699号</w:t>
      </w:r>
    </w:p>
    <w:p w14:paraId="1F527B56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</w:p>
    <w:p w14:paraId="3A52432C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供水板块：一般项目：专用设备修理；仪器仪表修理；住宅水电安装维护服务；非居住房地产租赁；管道运输设备销售；供应用仪器仪表销售；计量服务；工程管理服务；物业管理；园林绿化工程施工；家政服务；建筑物清洁服务；专业保洁、清洗、消毒服务（除依法须经批准的项目外，凭营业执照依法自主开展经营活动）。住所：邹城市太平西路1333号。</w:t>
      </w:r>
    </w:p>
    <w:p w14:paraId="00E7B9EB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污水板块：一般项目：专用设备修理；仪器仪表修理；住宅水电安装维护服务；非居住房地产租赁；管道运输设备销售；供应用仪器仪表销售；计量服务；工程管理服务；物业管理；园林绿化工程施工；家政服务；建筑物清洁服务；专业保洁、清洗、消毒服务（除依法须经批准的项目外，凭营业执照依法自主开展经营活动）。住所：邹城市西外环路8699号。</w:t>
      </w:r>
    </w:p>
    <w:p w14:paraId="54D4120F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许可项目：污水处理及其再生利用；各类工程建设活动；建设工程设计；自来水生产与供应；房屋建筑和市政基础设施项目工程总承包；现制现售饮用水；检验检测服务；工程造价咨询业务；住宅室内装饰装修；消防设施工程施工（依法须经批准的项目，经相关部门批准后方可开展经营活动，具体经营项目以审批结果为准） </w:t>
      </w:r>
    </w:p>
    <w:p w14:paraId="66C5B14D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</w:p>
    <w:p w14:paraId="492FB2D6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供水板块：邹城市自来水公司成立于1979年9月， 2018年11月进行改制，成立邹城市自来水有限公司。类型:有限责任公司（国有控股），注册资本3600万元。统一社会信用代码：91370883166122593H。公司下设邹城市城源市政工程有限公司、邹城市自来水有限公司矿区分公司、邹城市自来水有限公司思源物业分公司。负责邹城城区和兖矿片区的供水及管网安装维修等任务。</w:t>
      </w:r>
    </w:p>
    <w:p w14:paraId="45EC89BE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污水板块：邹城公用水务有限公司是山东公用控股有限公司（原济宁供水集团总公司）全资子公司,下设邹城市第一污水处理厂、邹城市第二污水处理厂和邹城市经济开发区污水处理厂，是济宁市“治、用、保、防、控”水污染防治体系中“治”和“用”的重要组成部分。主要承接并处理邹城市主城区、东城区、西南片区、孟子湖新区和经济开发区的生活污水与生产废水。</w:t>
      </w:r>
    </w:p>
    <w:p w14:paraId="1E6D1B3D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另外负责邹城市乡镇供水工作。</w:t>
      </w:r>
    </w:p>
    <w:p w14:paraId="5ABAA523">
      <w:pPr>
        <w:snapToGrid w:val="0"/>
        <w:spacing w:line="58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</w:p>
    <w:p w14:paraId="3B90E8D9"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2024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30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日）</w:t>
      </w:r>
    </w:p>
    <w:p w14:paraId="4484740B">
      <w:pPr>
        <w:ind w:firstLine="6720" w:firstLineChars="21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  <w:lang w:eastAsia="zh-CN"/>
        </w:rPr>
        <w:t>单</w:t>
      </w:r>
      <w:r>
        <w:rPr>
          <w:rFonts w:ascii="Times New Roman" w:hAnsi="Times New Roman" w:eastAsia="方正黑体简体" w:cs="Times New Roman"/>
          <w:sz w:val="32"/>
          <w:szCs w:val="32"/>
        </w:rPr>
        <w:t>位： 万元</w:t>
      </w:r>
    </w:p>
    <w:tbl>
      <w:tblPr>
        <w:tblStyle w:val="5"/>
        <w:tblW w:w="86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5103"/>
      </w:tblGrid>
      <w:tr w14:paraId="6C54B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286490BB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黑体简体" w:cs="Times New Roman"/>
                <w:sz w:val="32"/>
                <w:szCs w:val="32"/>
              </w:rPr>
              <w:t>营业总收入</w:t>
            </w:r>
          </w:p>
        </w:tc>
        <w:tc>
          <w:tcPr>
            <w:tcW w:w="5103" w:type="dxa"/>
            <w:vAlign w:val="center"/>
          </w:tcPr>
          <w:p w14:paraId="35111B65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黑体简体" w:cs="Times New Roman"/>
                <w:sz w:val="32"/>
                <w:szCs w:val="32"/>
              </w:rPr>
              <w:t>13864</w:t>
            </w:r>
          </w:p>
        </w:tc>
      </w:tr>
      <w:tr w14:paraId="3E730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0881BB14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黑体简体" w:cs="Times New Roman"/>
                <w:sz w:val="32"/>
                <w:szCs w:val="32"/>
              </w:rPr>
              <w:t>营业总成本</w:t>
            </w:r>
          </w:p>
        </w:tc>
        <w:tc>
          <w:tcPr>
            <w:tcW w:w="5103" w:type="dxa"/>
            <w:vAlign w:val="center"/>
          </w:tcPr>
          <w:p w14:paraId="73F2A363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黑体简体" w:cs="Times New Roman"/>
                <w:sz w:val="32"/>
                <w:szCs w:val="32"/>
              </w:rPr>
              <w:t>11776</w:t>
            </w:r>
          </w:p>
        </w:tc>
      </w:tr>
      <w:tr w14:paraId="61104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5D8DEAA6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黑体简体" w:cs="Times New Roman"/>
                <w:sz w:val="32"/>
                <w:szCs w:val="32"/>
              </w:rPr>
              <w:t>利润总额</w:t>
            </w:r>
          </w:p>
        </w:tc>
        <w:tc>
          <w:tcPr>
            <w:tcW w:w="5103" w:type="dxa"/>
            <w:vAlign w:val="center"/>
          </w:tcPr>
          <w:p w14:paraId="286FB8C6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黑体简体" w:cs="Times New Roman"/>
                <w:sz w:val="32"/>
                <w:szCs w:val="32"/>
              </w:rPr>
              <w:t>2088</w:t>
            </w:r>
          </w:p>
        </w:tc>
      </w:tr>
      <w:tr w14:paraId="7D19F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49B0F9D8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黑体简体" w:cs="Times New Roman"/>
                <w:sz w:val="32"/>
                <w:szCs w:val="32"/>
              </w:rPr>
              <w:t>净利润</w:t>
            </w:r>
          </w:p>
        </w:tc>
        <w:tc>
          <w:tcPr>
            <w:tcW w:w="5103" w:type="dxa"/>
            <w:vAlign w:val="center"/>
          </w:tcPr>
          <w:p w14:paraId="256DB733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黑体简体" w:cs="Times New Roman"/>
                <w:sz w:val="32"/>
                <w:szCs w:val="32"/>
              </w:rPr>
              <w:t>1650</w:t>
            </w:r>
          </w:p>
        </w:tc>
      </w:tr>
      <w:tr w14:paraId="73EB8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67248C77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黑体简体" w:cs="Times New Roman"/>
                <w:sz w:val="32"/>
                <w:szCs w:val="32"/>
              </w:rPr>
              <w:t>资产总额</w:t>
            </w:r>
          </w:p>
        </w:tc>
        <w:tc>
          <w:tcPr>
            <w:tcW w:w="5103" w:type="dxa"/>
            <w:vAlign w:val="center"/>
          </w:tcPr>
          <w:p w14:paraId="002DB0FD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黑体简体" w:cs="Times New Roman"/>
                <w:sz w:val="32"/>
                <w:szCs w:val="32"/>
              </w:rPr>
              <w:t>95226</w:t>
            </w:r>
          </w:p>
        </w:tc>
      </w:tr>
      <w:tr w14:paraId="4FCB8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2CDE54AF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黑体简体" w:cs="Times New Roman"/>
                <w:sz w:val="32"/>
                <w:szCs w:val="32"/>
              </w:rPr>
              <w:t>负债总额</w:t>
            </w:r>
          </w:p>
        </w:tc>
        <w:tc>
          <w:tcPr>
            <w:tcW w:w="5103" w:type="dxa"/>
            <w:vAlign w:val="center"/>
          </w:tcPr>
          <w:p w14:paraId="68639803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黑体简体" w:cs="Times New Roman"/>
                <w:sz w:val="32"/>
                <w:szCs w:val="32"/>
              </w:rPr>
              <w:t>59484</w:t>
            </w:r>
          </w:p>
        </w:tc>
      </w:tr>
      <w:tr w14:paraId="32D54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4F19003A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ascii="Times New Roman" w:hAnsi="Times New Roman" w:eastAsia="方正黑体简体" w:cs="Times New Roman"/>
                <w:sz w:val="32"/>
                <w:szCs w:val="32"/>
              </w:rPr>
              <w:t>所有者权益</w:t>
            </w:r>
          </w:p>
        </w:tc>
        <w:tc>
          <w:tcPr>
            <w:tcW w:w="5103" w:type="dxa"/>
            <w:vAlign w:val="center"/>
          </w:tcPr>
          <w:p w14:paraId="0D2A824C">
            <w:pPr>
              <w:jc w:val="center"/>
              <w:rPr>
                <w:rFonts w:ascii="Times New Roman" w:hAnsi="Times New Roman" w:eastAsia="方正黑体简体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黑体简体" w:cs="Times New Roman"/>
                <w:sz w:val="32"/>
                <w:szCs w:val="32"/>
              </w:rPr>
              <w:t>35742</w:t>
            </w:r>
          </w:p>
        </w:tc>
      </w:tr>
    </w:tbl>
    <w:p w14:paraId="3BFF1164">
      <w:pPr>
        <w:snapToGrid w:val="0"/>
        <w:spacing w:line="58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 w14:paraId="434AF2D5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1.营业收入：本年预算27327万元，截至到2024年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50.7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2D52B67D">
      <w:pPr>
        <w:snapToGrid w:val="0"/>
        <w:spacing w:line="58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2.利润总额：本年预算4028万元，截至到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024年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51.8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7D1527A6">
      <w:pPr>
        <w:snapToGrid w:val="0"/>
        <w:spacing w:line="580" w:lineRule="exact"/>
        <w:ind w:firstLine="643" w:firstLineChars="200"/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/>
          <w:sz w:val="32"/>
          <w:szCs w:val="32"/>
        </w:rPr>
        <w:t>四、年度中期内发生的重大事项及对公司的影响</w:t>
      </w:r>
    </w:p>
    <w:p w14:paraId="1292973D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ZkN2I4NDU0ZTQ2OWYwZWMxMzFlNjJlZTY3MDVmZTYifQ=="/>
  </w:docVars>
  <w:rsids>
    <w:rsidRoot w:val="13CC2444"/>
    <w:rsid w:val="00015FBC"/>
    <w:rsid w:val="001410B8"/>
    <w:rsid w:val="00165E1C"/>
    <w:rsid w:val="00186F9D"/>
    <w:rsid w:val="001B4FA2"/>
    <w:rsid w:val="00332EF0"/>
    <w:rsid w:val="003878FD"/>
    <w:rsid w:val="003F77BE"/>
    <w:rsid w:val="00553F6C"/>
    <w:rsid w:val="005821A1"/>
    <w:rsid w:val="006E519D"/>
    <w:rsid w:val="00784697"/>
    <w:rsid w:val="007E3428"/>
    <w:rsid w:val="007E5379"/>
    <w:rsid w:val="008A3C66"/>
    <w:rsid w:val="0094180E"/>
    <w:rsid w:val="00AC6AB4"/>
    <w:rsid w:val="00B57EDA"/>
    <w:rsid w:val="00BC3130"/>
    <w:rsid w:val="00C455E3"/>
    <w:rsid w:val="00C65B77"/>
    <w:rsid w:val="00C73B18"/>
    <w:rsid w:val="00D321DA"/>
    <w:rsid w:val="00D674F1"/>
    <w:rsid w:val="00D938AE"/>
    <w:rsid w:val="00E426C4"/>
    <w:rsid w:val="00EA422D"/>
    <w:rsid w:val="00FC157F"/>
    <w:rsid w:val="00FD3E26"/>
    <w:rsid w:val="06DF3B7E"/>
    <w:rsid w:val="09EC724C"/>
    <w:rsid w:val="0D6D5D2C"/>
    <w:rsid w:val="13CC2444"/>
    <w:rsid w:val="180477A4"/>
    <w:rsid w:val="19560A59"/>
    <w:rsid w:val="1C496371"/>
    <w:rsid w:val="29D47C5C"/>
    <w:rsid w:val="2A4822AF"/>
    <w:rsid w:val="2D9F5C7A"/>
    <w:rsid w:val="33A670F3"/>
    <w:rsid w:val="40E1715D"/>
    <w:rsid w:val="419C0824"/>
    <w:rsid w:val="44244964"/>
    <w:rsid w:val="483B360A"/>
    <w:rsid w:val="57404164"/>
    <w:rsid w:val="5C83014D"/>
    <w:rsid w:val="5E145AF2"/>
    <w:rsid w:val="5F372BCB"/>
    <w:rsid w:val="5F412942"/>
    <w:rsid w:val="60785E58"/>
    <w:rsid w:val="678437B5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1027</Words>
  <Characters>1126</Characters>
  <Lines>8</Lines>
  <Paragraphs>2</Paragraphs>
  <TotalTime>70</TotalTime>
  <ScaleCrop>false</ScaleCrop>
  <LinksUpToDate>false</LinksUpToDate>
  <CharactersWithSpaces>1133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2024-08-25T15:23:34Z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EA74C1FF97974B4C9BCB2A66CAC65296</vt:lpwstr>
  </property>
</Properties>
</file>