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1D8CB8">
      <w:pPr>
        <w:snapToGrid w:val="0"/>
        <w:spacing w:line="640" w:lineRule="exact"/>
        <w:jc w:val="center"/>
        <w:rPr>
          <w:rFonts w:hint="eastAsia" w:ascii="方正小标宋简体" w:hAnsi="方正小标宋简体" w:eastAsia="方正小标宋简体" w:cs="方正小标宋简体"/>
          <w:b/>
          <w:bCs/>
          <w:sz w:val="44"/>
          <w:szCs w:val="44"/>
          <w:highlight w:val="none"/>
          <w:lang w:val="en-US" w:eastAsia="zh-CN"/>
        </w:rPr>
      </w:pPr>
      <w:r>
        <w:rPr>
          <w:rFonts w:hint="eastAsia" w:ascii="方正小标宋简体" w:hAnsi="方正小标宋简体" w:eastAsia="方正小标宋简体" w:cs="方正小标宋简体"/>
          <w:b/>
          <w:bCs/>
          <w:sz w:val="44"/>
          <w:szCs w:val="44"/>
          <w:highlight w:val="none"/>
          <w:lang w:val="en-US" w:eastAsia="zh-CN"/>
        </w:rPr>
        <w:t>山东公用北湖污水处理有限公司</w:t>
      </w:r>
    </w:p>
    <w:p w14:paraId="2DFCC125">
      <w:pPr>
        <w:snapToGrid w:val="0"/>
        <w:spacing w:line="640" w:lineRule="exact"/>
        <w:jc w:val="center"/>
        <w:rPr>
          <w:rFonts w:hint="eastAsia" w:ascii="宋体" w:hAnsi="宋体" w:eastAsia="方正小标宋简体" w:cs="宋体"/>
          <w:sz w:val="24"/>
          <w:lang w:val="en-US" w:eastAsia="zh-CN"/>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val="en-US" w:eastAsia="zh-CN"/>
        </w:rPr>
        <w:t>中期</w:t>
      </w:r>
      <w:r>
        <w:rPr>
          <w:rFonts w:hint="eastAsia" w:ascii="方正小标宋简体" w:hAnsi="方正小标宋简体" w:eastAsia="方正小标宋简体" w:cs="方正小标宋简体"/>
          <w:b/>
          <w:bCs/>
          <w:sz w:val="44"/>
          <w:szCs w:val="44"/>
        </w:rPr>
        <w:t>财务重大信息公开</w:t>
      </w:r>
    </w:p>
    <w:p w14:paraId="12147D8E">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14:paraId="3B0D64BC">
      <w:pPr>
        <w:snapToGrid w:val="0"/>
        <w:spacing w:line="58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一、公司基本情况 </w:t>
      </w:r>
    </w:p>
    <w:p w14:paraId="56C3D4C4">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1.公司名称：</w:t>
      </w:r>
      <w:r>
        <w:rPr>
          <w:rFonts w:hint="default" w:ascii="Times New Roman" w:hAnsi="Times New Roman" w:eastAsia="方正仿宋简体" w:cs="Times New Roman"/>
          <w:b/>
          <w:bCs/>
          <w:sz w:val="32"/>
          <w:szCs w:val="32"/>
          <w:lang w:val="en-US" w:eastAsia="zh-CN"/>
        </w:rPr>
        <w:t>山东公用北湖污水处理有限公司</w:t>
      </w:r>
    </w:p>
    <w:p w14:paraId="7DF048A8">
      <w:pPr>
        <w:snapToGrid w:val="0"/>
        <w:spacing w:line="580" w:lineRule="exact"/>
        <w:ind w:firstLine="643" w:firstLineChars="200"/>
        <w:rPr>
          <w:rFonts w:hint="default"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2.法定代表人：</w:t>
      </w:r>
      <w:r>
        <w:rPr>
          <w:rFonts w:hint="default" w:ascii="Times New Roman" w:hAnsi="Times New Roman" w:eastAsia="方正仿宋简体" w:cs="Times New Roman"/>
          <w:b/>
          <w:bCs/>
          <w:sz w:val="32"/>
          <w:szCs w:val="32"/>
          <w:lang w:eastAsia="zh-CN"/>
        </w:rPr>
        <w:t>孙海滨</w:t>
      </w:r>
    </w:p>
    <w:p w14:paraId="5D5BED2A">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3.注册地址：</w:t>
      </w:r>
      <w:r>
        <w:rPr>
          <w:rFonts w:hint="default" w:ascii="Times New Roman" w:hAnsi="Times New Roman" w:eastAsia="方正仿宋简体" w:cs="Times New Roman"/>
          <w:b/>
          <w:bCs/>
          <w:sz w:val="32"/>
          <w:szCs w:val="32"/>
          <w:lang w:val="en-US" w:eastAsia="zh-CN"/>
        </w:rPr>
        <w:t>山东省济宁北湖省级旅游度假区许庄街道临菏路与237国道交叉口东800米</w:t>
      </w:r>
    </w:p>
    <w:p w14:paraId="74944A1A">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4.经营范围：</w:t>
      </w:r>
      <w:r>
        <w:rPr>
          <w:rFonts w:hint="default" w:ascii="Times New Roman" w:hAnsi="Times New Roman" w:eastAsia="方正仿宋简体" w:cs="Times New Roman"/>
          <w:b/>
          <w:bCs/>
          <w:sz w:val="32"/>
          <w:szCs w:val="32"/>
          <w:lang w:val="en-US" w:eastAsia="zh-CN"/>
        </w:rPr>
        <w:t>自来水生产与供应;施工专业作业;建筑劳务分包;建设工程施工;污水处理及其再生利用;建设工程设计。(依法须经批准的项目，经相关部门批准后方可开展经营活动，具体经营项目以相关部门批准文件或许可证件为准)</w:t>
      </w:r>
    </w:p>
    <w:p w14:paraId="786D71EA">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一般项目:工程技术服务(规划管理、勘察、设计、监理除外);工程管理服务;工程和技术研究和试验发展;专业设计服务。(除依法须经批准的项目外，凭营业执照依法自主开展经营活动)</w:t>
      </w:r>
      <w:r>
        <w:rPr>
          <w:rFonts w:hint="default" w:ascii="Times New Roman" w:hAnsi="Times New Roman" w:eastAsia="方正仿宋简体" w:cs="Times New Roman"/>
          <w:b/>
          <w:bCs/>
          <w:sz w:val="32"/>
          <w:szCs w:val="32"/>
        </w:rPr>
        <w:t xml:space="preserve"> </w:t>
      </w:r>
    </w:p>
    <w:p w14:paraId="06581D1A">
      <w:pPr>
        <w:keepNext w:val="0"/>
        <w:keepLines w:val="0"/>
        <w:pageBreakBefore w:val="0"/>
        <w:widowControl w:val="0"/>
        <w:kinsoku/>
        <w:wordWrap/>
        <w:overflowPunct/>
        <w:topLinePunct w:val="0"/>
        <w:autoSpaceDE/>
        <w:autoSpaceDN/>
        <w:bidi w:val="0"/>
        <w:adjustRightInd/>
        <w:snapToGrid/>
        <w:spacing w:line="580" w:lineRule="exact"/>
        <w:ind w:firstLine="560"/>
        <w:jc w:val="left"/>
        <w:textAlignment w:val="auto"/>
        <w:outlineLvl w:val="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 xml:space="preserve">5.公司简介: </w:t>
      </w:r>
    </w:p>
    <w:p w14:paraId="4EB60BD1">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（1）基本情况</w:t>
      </w:r>
    </w:p>
    <w:p w14:paraId="2C1D9D54">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山东公用北湖污水处理有限公司隶属于山东公用水务集团有限公司，是济宁市住建委批准的城市污水处理二级企业，被太白湖新区人民政府授予城区范围内污水处理30年特许经营权。公司处理工艺采用“A2O”生物处理+V型滤池过滤深度处理”，处理能力2万m3/d，2011年7月立项批准，2012年9月建设竣工，2013年2月调试运行，注册资本金8500万元，现有员工29人。</w:t>
      </w:r>
    </w:p>
    <w:p w14:paraId="00935B98">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（2）水质情况</w:t>
      </w:r>
    </w:p>
    <w:p w14:paraId="50684DD6">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山东公用北湖污水处理有限公司是国家南水北调东线基础性工程之一，也是济宁市重点环保工程、生态工程和民心工程。运行以来，出水稳定达标排放，水质优于《城镇污水处理厂污染物排放标准》（GB18918-2002） 一级A排放标准要求，2023年污水处理厂水质提标改造后，出水水质将达到（GB3838-2002）的准Ⅳ类，中水直接排入老运河湿地。</w:t>
      </w:r>
    </w:p>
    <w:p w14:paraId="676D2DE0">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山东公用北湖污水处理有限公司的运行是太白湖新区社会发展、南四湖流域水体环境保护的需要，对济宁市经济、环境协调发展具有重要意义。</w:t>
      </w:r>
    </w:p>
    <w:p w14:paraId="769B2804">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黑体简体" w:cs="Times New Roman"/>
          <w:b/>
          <w:bCs/>
          <w:sz w:val="28"/>
          <w:szCs w:val="28"/>
          <w:lang w:val="en-US" w:eastAsia="zh-CN"/>
        </w:rPr>
      </w:pPr>
      <w:r>
        <w:rPr>
          <w:rFonts w:hint="eastAsia" w:ascii="方正黑体简体" w:hAnsi="方正黑体简体" w:eastAsia="方正黑体简体" w:cs="方正黑体简体"/>
          <w:b/>
          <w:bCs/>
          <w:sz w:val="32"/>
          <w:szCs w:val="32"/>
        </w:rPr>
        <w:t>二、主要</w:t>
      </w:r>
      <w:r>
        <w:rPr>
          <w:rFonts w:hint="eastAsia" w:ascii="方正黑体简体" w:hAnsi="方正黑体简体" w:eastAsia="方正黑体简体" w:cs="方正黑体简体"/>
          <w:b/>
          <w:bCs/>
          <w:sz w:val="32"/>
          <w:szCs w:val="32"/>
          <w:lang w:val="en-US" w:eastAsia="zh-CN"/>
        </w:rPr>
        <w:t>会计数据和</w:t>
      </w:r>
      <w:r>
        <w:rPr>
          <w:rFonts w:hint="eastAsia" w:ascii="方正黑体简体" w:hAnsi="方正黑体简体" w:eastAsia="方正黑体简体" w:cs="方正黑体简体"/>
          <w:b/>
          <w:bCs/>
          <w:sz w:val="32"/>
          <w:szCs w:val="32"/>
        </w:rPr>
        <w:t>财务</w:t>
      </w:r>
      <w:r>
        <w:rPr>
          <w:rFonts w:hint="eastAsia" w:ascii="方正黑体简体" w:hAnsi="方正黑体简体" w:eastAsia="方正黑体简体" w:cs="方正黑体简体"/>
          <w:b/>
          <w:bCs/>
          <w:sz w:val="32"/>
          <w:szCs w:val="32"/>
          <w:lang w:val="en-US" w:eastAsia="zh-CN"/>
        </w:rPr>
        <w:t>指标</w:t>
      </w:r>
      <w:r>
        <w:rPr>
          <w:rFonts w:hint="eastAsia" w:ascii="方正黑体简体" w:hAnsi="方正黑体简体" w:eastAsia="方正黑体简体" w:cs="方正黑体简体"/>
          <w:b w:val="0"/>
          <w:bCs w:val="0"/>
          <w:sz w:val="28"/>
          <w:szCs w:val="28"/>
          <w:lang w:val="en-US" w:eastAsia="zh-CN"/>
        </w:rPr>
        <w:t>（</w:t>
      </w:r>
      <w:r>
        <w:rPr>
          <w:rFonts w:hint="default" w:ascii="Times New Roman" w:hAnsi="Times New Roman" w:eastAsia="方正黑体简体" w:cs="Times New Roman"/>
          <w:b w:val="0"/>
          <w:bCs w:val="0"/>
          <w:sz w:val="28"/>
          <w:szCs w:val="28"/>
          <w:lang w:val="en-US" w:eastAsia="zh-CN"/>
        </w:rPr>
        <w:t>截至到</w:t>
      </w:r>
      <w:r>
        <w:rPr>
          <w:rFonts w:hint="default" w:ascii="Times New Roman" w:hAnsi="Times New Roman" w:eastAsia="方正仿宋简体" w:cs="Times New Roman"/>
          <w:b/>
          <w:bCs/>
          <w:sz w:val="28"/>
          <w:szCs w:val="28"/>
          <w:lang w:val="en-US" w:eastAsia="zh-CN"/>
        </w:rPr>
        <w:t>2024</w:t>
      </w:r>
      <w:r>
        <w:rPr>
          <w:rFonts w:hint="default" w:ascii="Times New Roman" w:hAnsi="Times New Roman" w:eastAsia="方正黑体简体" w:cs="Times New Roman"/>
          <w:b w:val="0"/>
          <w:bCs w:val="0"/>
          <w:sz w:val="28"/>
          <w:szCs w:val="28"/>
          <w:lang w:val="en-US" w:eastAsia="zh-CN"/>
        </w:rPr>
        <w:t>年</w:t>
      </w:r>
      <w:r>
        <w:rPr>
          <w:rFonts w:hint="default" w:ascii="Times New Roman" w:hAnsi="Times New Roman" w:eastAsia="方正仿宋简体" w:cs="Times New Roman"/>
          <w:b/>
          <w:bCs/>
          <w:sz w:val="28"/>
          <w:szCs w:val="28"/>
          <w:lang w:val="en-US" w:eastAsia="zh-CN"/>
        </w:rPr>
        <w:t>6</w:t>
      </w:r>
      <w:r>
        <w:rPr>
          <w:rFonts w:hint="default" w:ascii="Times New Roman" w:hAnsi="Times New Roman" w:eastAsia="方正黑体简体" w:cs="Times New Roman"/>
          <w:b w:val="0"/>
          <w:bCs w:val="0"/>
          <w:sz w:val="28"/>
          <w:szCs w:val="28"/>
          <w:lang w:val="en-US" w:eastAsia="zh-CN"/>
        </w:rPr>
        <w:t>月</w:t>
      </w:r>
      <w:r>
        <w:rPr>
          <w:rFonts w:hint="default" w:ascii="Times New Roman" w:hAnsi="Times New Roman" w:eastAsia="方正仿宋简体" w:cs="Times New Roman"/>
          <w:b/>
          <w:bCs/>
          <w:sz w:val="28"/>
          <w:szCs w:val="28"/>
          <w:lang w:val="en-US" w:eastAsia="zh-CN"/>
        </w:rPr>
        <w:t>30</w:t>
      </w:r>
      <w:r>
        <w:rPr>
          <w:rFonts w:hint="default" w:ascii="Times New Roman" w:hAnsi="Times New Roman" w:eastAsia="方正黑体简体" w:cs="Times New Roman"/>
          <w:b w:val="0"/>
          <w:bCs w:val="0"/>
          <w:sz w:val="28"/>
          <w:szCs w:val="28"/>
          <w:lang w:val="en-US" w:eastAsia="zh-CN"/>
        </w:rPr>
        <w:t>日）</w:t>
      </w:r>
    </w:p>
    <w:tbl>
      <w:tblPr>
        <w:tblStyle w:val="3"/>
        <w:tblpPr w:leftFromText="180" w:rightFromText="180" w:vertAnchor="text" w:horzAnchor="page" w:tblpX="1905" w:tblpY="68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14:paraId="47A28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1AF556F5">
            <w:pPr>
              <w:jc w:val="cente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营业总收入</w:t>
            </w:r>
          </w:p>
        </w:tc>
        <w:tc>
          <w:tcPr>
            <w:tcW w:w="4977" w:type="dxa"/>
            <w:vAlign w:val="center"/>
          </w:tcPr>
          <w:p w14:paraId="05B8DDC5">
            <w:pPr>
              <w:jc w:val="center"/>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432.00</w:t>
            </w:r>
          </w:p>
        </w:tc>
      </w:tr>
      <w:tr w14:paraId="30F4D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0FE9D0EE">
            <w:pPr>
              <w:jc w:val="cente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营业总成本</w:t>
            </w:r>
          </w:p>
        </w:tc>
        <w:tc>
          <w:tcPr>
            <w:tcW w:w="4977" w:type="dxa"/>
            <w:vAlign w:val="center"/>
          </w:tcPr>
          <w:p w14:paraId="134BBFDE">
            <w:pPr>
              <w:jc w:val="center"/>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757.00</w:t>
            </w:r>
          </w:p>
        </w:tc>
      </w:tr>
      <w:tr w14:paraId="4BBBD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49EFF3A3">
            <w:pPr>
              <w:jc w:val="cente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利润总额</w:t>
            </w:r>
          </w:p>
        </w:tc>
        <w:tc>
          <w:tcPr>
            <w:tcW w:w="4977" w:type="dxa"/>
            <w:vAlign w:val="center"/>
          </w:tcPr>
          <w:p w14:paraId="1E71BA3D">
            <w:pPr>
              <w:jc w:val="center"/>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-325.00</w:t>
            </w:r>
          </w:p>
        </w:tc>
      </w:tr>
      <w:tr w14:paraId="04E0B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3D58B938">
            <w:pPr>
              <w:jc w:val="center"/>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lang w:val="en-US" w:eastAsia="zh-CN"/>
              </w:rPr>
              <w:t>净利润</w:t>
            </w:r>
          </w:p>
        </w:tc>
        <w:tc>
          <w:tcPr>
            <w:tcW w:w="4977" w:type="dxa"/>
            <w:vAlign w:val="center"/>
          </w:tcPr>
          <w:p w14:paraId="466E17BF">
            <w:pPr>
              <w:jc w:val="center"/>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-325.00</w:t>
            </w:r>
          </w:p>
        </w:tc>
      </w:tr>
      <w:tr w14:paraId="65CF1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7CFBFC1E">
            <w:pPr>
              <w:jc w:val="cente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资产总额</w:t>
            </w:r>
          </w:p>
        </w:tc>
        <w:tc>
          <w:tcPr>
            <w:tcW w:w="4977" w:type="dxa"/>
            <w:vAlign w:val="center"/>
          </w:tcPr>
          <w:p w14:paraId="31EBF314">
            <w:pPr>
              <w:jc w:val="center"/>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6075.00</w:t>
            </w:r>
          </w:p>
        </w:tc>
      </w:tr>
      <w:tr w14:paraId="1272E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09888984">
            <w:pPr>
              <w:jc w:val="cente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负债总额</w:t>
            </w:r>
          </w:p>
        </w:tc>
        <w:tc>
          <w:tcPr>
            <w:tcW w:w="4977" w:type="dxa"/>
            <w:vAlign w:val="center"/>
          </w:tcPr>
          <w:p w14:paraId="1B1C35AF">
            <w:pPr>
              <w:jc w:val="center"/>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13849.00</w:t>
            </w:r>
          </w:p>
        </w:tc>
      </w:tr>
      <w:tr w14:paraId="2156B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74C459B1">
            <w:pPr>
              <w:jc w:val="cente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所有者权益</w:t>
            </w:r>
          </w:p>
        </w:tc>
        <w:tc>
          <w:tcPr>
            <w:tcW w:w="4977" w:type="dxa"/>
            <w:vAlign w:val="center"/>
          </w:tcPr>
          <w:p w14:paraId="294CAD80">
            <w:pPr>
              <w:jc w:val="center"/>
              <w:rPr>
                <w:rFonts w:hint="default" w:ascii="Times New Roman" w:hAnsi="Times New Roman" w:eastAsia="方正黑体简体" w:cs="Times New Roman"/>
                <w:b/>
                <w:bCs/>
                <w:sz w:val="32"/>
                <w:szCs w:val="32"/>
                <w:lang w:val="en-US" w:eastAsia="zh-CN"/>
              </w:rPr>
            </w:pPr>
            <w:r>
              <w:rPr>
                <w:rFonts w:hint="default" w:ascii="Times New Roman" w:hAnsi="Times New Roman" w:eastAsia="方正黑体简体" w:cs="Times New Roman"/>
                <w:b/>
                <w:bCs/>
                <w:sz w:val="32"/>
                <w:szCs w:val="32"/>
                <w:lang w:val="en-US" w:eastAsia="zh-CN"/>
              </w:rPr>
              <w:t>-7774.00</w:t>
            </w:r>
          </w:p>
        </w:tc>
      </w:tr>
    </w:tbl>
    <w:p w14:paraId="39664FE2">
      <w:pPr>
        <w:keepNext w:val="0"/>
        <w:keepLines w:val="0"/>
        <w:pageBreakBefore w:val="0"/>
        <w:widowControl w:val="0"/>
        <w:kinsoku/>
        <w:wordWrap/>
        <w:overflowPunct/>
        <w:topLinePunct w:val="0"/>
        <w:autoSpaceDE/>
        <w:autoSpaceDN/>
        <w:bidi w:val="0"/>
        <w:adjustRightInd/>
        <w:snapToGrid/>
        <w:spacing w:line="500" w:lineRule="exact"/>
        <w:ind w:firstLine="6720" w:firstLineChars="2100"/>
        <w:textAlignment w:val="auto"/>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sz w:val="32"/>
          <w:szCs w:val="32"/>
          <w:lang w:eastAsia="zh-CN"/>
        </w:rPr>
        <w:t>单</w:t>
      </w:r>
      <w:r>
        <w:rPr>
          <w:rFonts w:hint="eastAsia" w:ascii="方正黑体简体" w:hAnsi="方正黑体简体" w:eastAsia="方正黑体简体" w:cs="方正黑体简体"/>
          <w:sz w:val="32"/>
          <w:szCs w:val="32"/>
        </w:rPr>
        <w:t>位：</w:t>
      </w:r>
      <w:r>
        <w:rPr>
          <w:rFonts w:hint="eastAsia" w:ascii="方正黑体简体" w:hAnsi="方正黑体简体" w:eastAsia="方正黑体简体" w:cs="方正黑体简体"/>
          <w:sz w:val="32"/>
          <w:szCs w:val="32"/>
          <w:lang w:val="en-US" w:eastAsia="zh-CN"/>
        </w:rPr>
        <w:t xml:space="preserve"> </w:t>
      </w:r>
      <w:r>
        <w:rPr>
          <w:rFonts w:hint="eastAsia" w:ascii="方正黑体简体" w:hAnsi="方正黑体简体" w:eastAsia="方正黑体简体" w:cs="方正黑体简体"/>
          <w:sz w:val="32"/>
          <w:szCs w:val="32"/>
        </w:rPr>
        <w:t>万元</w:t>
      </w:r>
    </w:p>
    <w:p w14:paraId="13A3A7B5">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default" w:ascii="方正黑体简体" w:hAnsi="方正黑体简体" w:eastAsia="方正黑体简体" w:cs="方正黑体简体"/>
          <w:b/>
          <w:bCs/>
          <w:sz w:val="32"/>
          <w:szCs w:val="32"/>
          <w:lang w:val="en-US"/>
        </w:rPr>
      </w:pPr>
      <w:r>
        <w:rPr>
          <w:rFonts w:hint="eastAsia" w:ascii="方正黑体简体" w:hAnsi="方正黑体简体" w:eastAsia="方正黑体简体" w:cs="方正黑体简体"/>
          <w:b/>
          <w:bCs/>
          <w:sz w:val="32"/>
          <w:szCs w:val="32"/>
        </w:rPr>
        <w:t>三、财务预算</w:t>
      </w:r>
      <w:r>
        <w:rPr>
          <w:rFonts w:hint="eastAsia" w:ascii="方正黑体简体" w:hAnsi="方正黑体简体" w:eastAsia="方正黑体简体" w:cs="方正黑体简体"/>
          <w:b/>
          <w:bCs/>
          <w:sz w:val="32"/>
          <w:szCs w:val="32"/>
          <w:lang w:val="en-US" w:eastAsia="zh-CN"/>
        </w:rPr>
        <w:t>执行情况</w:t>
      </w:r>
    </w:p>
    <w:p w14:paraId="411BDF29">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highlight w:val="none"/>
          <w:lang w:val="en-US" w:eastAsia="zh-CN"/>
        </w:rPr>
      </w:pPr>
      <w:r>
        <w:rPr>
          <w:rFonts w:hint="default" w:ascii="Times New Roman" w:hAnsi="Times New Roman" w:eastAsia="方正仿宋简体" w:cs="Times New Roman"/>
          <w:b/>
          <w:bCs/>
          <w:sz w:val="32"/>
          <w:szCs w:val="32"/>
          <w:lang w:val="en-US" w:eastAsia="zh-CN"/>
        </w:rPr>
        <w:t>1.营业收入：本年预算</w:t>
      </w:r>
      <w:r>
        <w:rPr>
          <w:rFonts w:hint="default" w:ascii="Times New Roman" w:hAnsi="Times New Roman" w:eastAsia="方正仿宋简体" w:cs="Times New Roman"/>
          <w:b/>
          <w:bCs/>
          <w:sz w:val="32"/>
          <w:szCs w:val="32"/>
          <w:highlight w:val="none"/>
          <w:lang w:val="en-US" w:eastAsia="zh-CN"/>
        </w:rPr>
        <w:t>1140.00</w:t>
      </w:r>
      <w:r>
        <w:rPr>
          <w:rFonts w:hint="default" w:ascii="Times New Roman" w:hAnsi="Times New Roman" w:eastAsia="方正仿宋简体" w:cs="Times New Roman"/>
          <w:b/>
          <w:bCs/>
          <w:sz w:val="32"/>
          <w:szCs w:val="32"/>
          <w:lang w:val="en-US" w:eastAsia="zh-CN"/>
        </w:rPr>
        <w:t>万元，截至到2024年6月30日，完成</w:t>
      </w:r>
      <w:r>
        <w:rPr>
          <w:rFonts w:hint="default" w:ascii="Times New Roman" w:hAnsi="Times New Roman" w:eastAsia="方正仿宋简体" w:cs="Times New Roman"/>
          <w:b/>
          <w:bCs/>
          <w:sz w:val="32"/>
          <w:szCs w:val="32"/>
          <w:highlight w:val="none"/>
          <w:lang w:val="en-US" w:eastAsia="zh-CN"/>
        </w:rPr>
        <w:t>37.89%。</w:t>
      </w:r>
    </w:p>
    <w:p w14:paraId="5BF100FC">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highlight w:val="none"/>
          <w:lang w:val="en-US" w:eastAsia="zh-CN"/>
        </w:rPr>
      </w:pPr>
      <w:r>
        <w:rPr>
          <w:rFonts w:hint="default" w:ascii="Times New Roman" w:hAnsi="Times New Roman" w:eastAsia="方正仿宋简体" w:cs="Times New Roman"/>
          <w:b/>
          <w:bCs/>
          <w:sz w:val="32"/>
          <w:szCs w:val="32"/>
          <w:highlight w:val="none"/>
          <w:lang w:val="en-US" w:eastAsia="zh-CN"/>
        </w:rPr>
        <w:t>2.利润总额：本年预算-1037.00万元，截至到2024年6月30日，完成168.66%。</w:t>
      </w:r>
    </w:p>
    <w:p w14:paraId="16A65949">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lang w:val="en-US" w:eastAsia="zh-CN"/>
        </w:rPr>
        <w:t>四、年度中期内发生的重大事项及对公司的影响</w:t>
      </w:r>
    </w:p>
    <w:p w14:paraId="482824CD">
      <w:pPr>
        <w:keepNext w:val="0"/>
        <w:keepLines w:val="0"/>
        <w:pageBreakBefore w:val="0"/>
        <w:widowControl w:val="0"/>
        <w:kinsoku/>
        <w:wordWrap/>
        <w:overflowPunct/>
        <w:topLinePunct w:val="0"/>
        <w:autoSpaceDE/>
        <w:autoSpaceDN/>
        <w:bidi w:val="0"/>
        <w:adjustRightInd/>
        <w:snapToGrid/>
        <w:spacing w:line="600" w:lineRule="exact"/>
        <w:ind w:firstLine="642"/>
        <w:textAlignment w:val="auto"/>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无。</w:t>
      </w:r>
    </w:p>
    <w:p w14:paraId="7AB06A73">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19C17B1"/>
    <w:rsid w:val="073D6D0E"/>
    <w:rsid w:val="0AEC4D95"/>
    <w:rsid w:val="0C1A2FEB"/>
    <w:rsid w:val="0C3B2998"/>
    <w:rsid w:val="10BE79C7"/>
    <w:rsid w:val="116E6C1A"/>
    <w:rsid w:val="15AF343C"/>
    <w:rsid w:val="19BB441C"/>
    <w:rsid w:val="1BA30584"/>
    <w:rsid w:val="1C4116F7"/>
    <w:rsid w:val="1C6116E7"/>
    <w:rsid w:val="1EC20E2A"/>
    <w:rsid w:val="210B455B"/>
    <w:rsid w:val="27556D74"/>
    <w:rsid w:val="29DB7EE8"/>
    <w:rsid w:val="2AE02898"/>
    <w:rsid w:val="2AF34583"/>
    <w:rsid w:val="2B3F25B5"/>
    <w:rsid w:val="2D750357"/>
    <w:rsid w:val="2EF06402"/>
    <w:rsid w:val="30C64425"/>
    <w:rsid w:val="343812E8"/>
    <w:rsid w:val="36CF6F6B"/>
    <w:rsid w:val="37555034"/>
    <w:rsid w:val="39CC509A"/>
    <w:rsid w:val="3AAB6272"/>
    <w:rsid w:val="3AF55BE1"/>
    <w:rsid w:val="3AF622E6"/>
    <w:rsid w:val="3BB55FE5"/>
    <w:rsid w:val="3BFC0A47"/>
    <w:rsid w:val="3CFB1B62"/>
    <w:rsid w:val="3FC26114"/>
    <w:rsid w:val="40BD30B7"/>
    <w:rsid w:val="41281C9D"/>
    <w:rsid w:val="41FF3444"/>
    <w:rsid w:val="434B161A"/>
    <w:rsid w:val="43643E1F"/>
    <w:rsid w:val="45C53C3B"/>
    <w:rsid w:val="46854B6C"/>
    <w:rsid w:val="483A2244"/>
    <w:rsid w:val="49F13122"/>
    <w:rsid w:val="4AC074EF"/>
    <w:rsid w:val="4CCE257E"/>
    <w:rsid w:val="4D684F8B"/>
    <w:rsid w:val="4DD7469C"/>
    <w:rsid w:val="4E5F12FF"/>
    <w:rsid w:val="506B7C43"/>
    <w:rsid w:val="508B7B29"/>
    <w:rsid w:val="50EE503F"/>
    <w:rsid w:val="53ED6D31"/>
    <w:rsid w:val="55BA32E0"/>
    <w:rsid w:val="56931D7A"/>
    <w:rsid w:val="59A95388"/>
    <w:rsid w:val="5AD90BFD"/>
    <w:rsid w:val="5E2E4B82"/>
    <w:rsid w:val="5E823AA2"/>
    <w:rsid w:val="5F4B061C"/>
    <w:rsid w:val="60C55797"/>
    <w:rsid w:val="628D27E7"/>
    <w:rsid w:val="63854CEE"/>
    <w:rsid w:val="640109FE"/>
    <w:rsid w:val="6841533D"/>
    <w:rsid w:val="68CB12B8"/>
    <w:rsid w:val="6A513C3D"/>
    <w:rsid w:val="6B1E2E25"/>
    <w:rsid w:val="6CB05D82"/>
    <w:rsid w:val="6DAC7C52"/>
    <w:rsid w:val="6ED15975"/>
    <w:rsid w:val="72A32873"/>
    <w:rsid w:val="72D9744E"/>
    <w:rsid w:val="74EA3D65"/>
    <w:rsid w:val="770E00D7"/>
    <w:rsid w:val="7723296C"/>
    <w:rsid w:val="772D5527"/>
    <w:rsid w:val="7749599C"/>
    <w:rsid w:val="77727E0A"/>
    <w:rsid w:val="7A9C7849"/>
    <w:rsid w:val="7D047F87"/>
    <w:rsid w:val="7D527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825</Words>
  <Characters>964</Characters>
  <Lines>0</Lines>
  <Paragraphs>0</Paragraphs>
  <TotalTime>1</TotalTime>
  <ScaleCrop>false</ScaleCrop>
  <LinksUpToDate>false</LinksUpToDate>
  <CharactersWithSpaces>970</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2022-04-28T00:56:00Z</dcterms:created>
  <dc:creator>lenovo</dc:creator>
  <cp:lastModifiedBy>Administrator</cp:lastModifiedBy>
  <dcterms:modified xsi:type="dcterms:W3CDTF">2024-08-25T15:27:58Z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BBE9F2F4FD1F4EAAAAE2BAA541DDE9CE_13</vt:lpwstr>
  </property>
</Properties>
</file>