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DA75D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山东公用达斯玛特水务有限公司 </w:t>
      </w:r>
    </w:p>
    <w:p w14:paraId="77C51106"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2024年中期财务重大信息公开</w:t>
      </w:r>
    </w:p>
    <w:p w14:paraId="241DB0B7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50A92E7D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1AB4ED71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1.公司名称：山东公用达斯玛特水务有限公司</w:t>
      </w:r>
    </w:p>
    <w:p w14:paraId="2FBD81CA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2.法定代表人：房晶</w:t>
      </w:r>
    </w:p>
    <w:p w14:paraId="78DB2026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3.注册地址：金乡县胡集镇济宁新材料产业园区</w:t>
      </w:r>
    </w:p>
    <w:p w14:paraId="56C99762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4.经营范围：工业供水，污水处理</w:t>
      </w:r>
    </w:p>
    <w:p w14:paraId="30E965DA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公司成立于2010年8月5日，地址位于金乡县胡集镇济宁新材料产业园区煤化大道路东，由山东公用水务集团有限公司、博瑞德环境集团股份有限公司、达斯玛特科技（杭州）有限公司及山东阳光颜料有限公司四家企业合资，同时是济宁新材料产业园区管委会唯一授权园区内专门从事供水、污水处理的企业。公司特许经营区域为园区的规划区域及未来发展区域，经营范围为工业供水及污水处理。</w:t>
      </w:r>
    </w:p>
    <w:p w14:paraId="67607784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公司供水项目设计规模近期为50000 m³/d，其中一期工程规模为25000 m³/d，原水来自北大溜河地表水，工艺采用网格絮凝+平流沉淀+V型滤池过滤+ NaClO消毒工艺，配水采用加压供水方式。</w:t>
      </w:r>
    </w:p>
    <w:p w14:paraId="692660A4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公司污水项目设计规模近期为40000 m³/d，其中一期规模为20000 m³/d，将接纳、处理济宁新材料产业园区内所有符合纳管标准的污水，是济宁新材料产业园区唯一一个综合污水处理厂。工艺采用“水解+缺氧+曝气生物流化池+曝气池+深度处理”，深度处理采用“混凝反应—沉淀—臭氧氧化池”工艺。园区企业污水通过一企一管的方式收集至公司集水器，经处理后的尾水稳定达到《城镇污水处理厂污染物排放标准》（GB18918-2002）中一级A标准，排入园区人工湿地进一步降解后，再排入新万福河。</w:t>
      </w:r>
    </w:p>
    <w:p w14:paraId="04E3DC57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2024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30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日）</w:t>
      </w:r>
    </w:p>
    <w:p w14:paraId="0CB07A2C">
      <w:pPr>
        <w:ind w:firstLine="6720" w:firstLineChars="21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 万元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14C7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0622B9B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977" w:type="dxa"/>
            <w:vAlign w:val="center"/>
          </w:tcPr>
          <w:p w14:paraId="2086159B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1316.29</w:t>
            </w:r>
          </w:p>
        </w:tc>
      </w:tr>
      <w:tr w14:paraId="6FE64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5F23ACA2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977" w:type="dxa"/>
            <w:vAlign w:val="center"/>
          </w:tcPr>
          <w:p w14:paraId="01E9D127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994.91</w:t>
            </w:r>
          </w:p>
        </w:tc>
      </w:tr>
      <w:tr w14:paraId="4087F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33F2B4A6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977" w:type="dxa"/>
            <w:vAlign w:val="center"/>
          </w:tcPr>
          <w:p w14:paraId="69E3B7DF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323.58</w:t>
            </w:r>
          </w:p>
        </w:tc>
      </w:tr>
      <w:tr w14:paraId="556D7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31FC3D2D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净利润</w:t>
            </w:r>
          </w:p>
        </w:tc>
        <w:tc>
          <w:tcPr>
            <w:tcW w:w="4977" w:type="dxa"/>
            <w:vAlign w:val="center"/>
          </w:tcPr>
          <w:p w14:paraId="2049D9D2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253.10</w:t>
            </w:r>
          </w:p>
        </w:tc>
      </w:tr>
      <w:tr w14:paraId="20728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1AF1DE03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4977" w:type="dxa"/>
            <w:vAlign w:val="center"/>
          </w:tcPr>
          <w:p w14:paraId="0CD37767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15217.41</w:t>
            </w:r>
          </w:p>
        </w:tc>
      </w:tr>
      <w:tr w14:paraId="45DA7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17E467C0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负债总额</w:t>
            </w:r>
          </w:p>
        </w:tc>
        <w:tc>
          <w:tcPr>
            <w:tcW w:w="4977" w:type="dxa"/>
            <w:vAlign w:val="center"/>
          </w:tcPr>
          <w:p w14:paraId="64EE7330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6773.78</w:t>
            </w:r>
          </w:p>
        </w:tc>
      </w:tr>
      <w:tr w14:paraId="60735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0333F6E6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所有者权益</w:t>
            </w:r>
          </w:p>
        </w:tc>
        <w:tc>
          <w:tcPr>
            <w:tcW w:w="4977" w:type="dxa"/>
            <w:vAlign w:val="center"/>
          </w:tcPr>
          <w:p w14:paraId="10DAF4F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8443.63</w:t>
            </w:r>
          </w:p>
        </w:tc>
      </w:tr>
    </w:tbl>
    <w:p w14:paraId="7D707AF8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13D8EEC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营业收入：本年预算</w:t>
      </w:r>
      <w:r>
        <w:rPr>
          <w:rFonts w:ascii="Times New Roman" w:hAnsi="Times New Roman" w:eastAsia="方正仿宋简体" w:cs="Times New Roman"/>
          <w:b/>
          <w:bCs/>
          <w:sz w:val="28"/>
          <w:szCs w:val="28"/>
        </w:rPr>
        <w:t>2684.27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年6月30日，完成49.04%。</w:t>
      </w:r>
    </w:p>
    <w:p w14:paraId="3147BADE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ascii="Times New Roman" w:hAnsi="Times New Roman" w:eastAsia="方正仿宋简体" w:cs="Times New Roman"/>
          <w:b/>
          <w:bCs/>
          <w:sz w:val="28"/>
          <w:szCs w:val="28"/>
        </w:rPr>
        <w:t>367.27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年6月30日，完成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8.10%。</w:t>
      </w:r>
    </w:p>
    <w:p w14:paraId="16A65949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四、年度中期内发生的重大事项及对公司的影响</w:t>
      </w:r>
    </w:p>
    <w:p w14:paraId="70B8296C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7E5379"/>
    <w:rsid w:val="008503A1"/>
    <w:rsid w:val="00980BC5"/>
    <w:rsid w:val="00AC6AB4"/>
    <w:rsid w:val="00C455E3"/>
    <w:rsid w:val="00DB1244"/>
    <w:rsid w:val="00DD3240"/>
    <w:rsid w:val="00EA422D"/>
    <w:rsid w:val="00F81005"/>
    <w:rsid w:val="02510197"/>
    <w:rsid w:val="06DF3B7E"/>
    <w:rsid w:val="09EC724C"/>
    <w:rsid w:val="0D6D5D2C"/>
    <w:rsid w:val="0DF227A5"/>
    <w:rsid w:val="13213793"/>
    <w:rsid w:val="13CC2444"/>
    <w:rsid w:val="180477A4"/>
    <w:rsid w:val="19560A59"/>
    <w:rsid w:val="196119B9"/>
    <w:rsid w:val="1C496371"/>
    <w:rsid w:val="1CF86512"/>
    <w:rsid w:val="1D0A07E3"/>
    <w:rsid w:val="29D47C5C"/>
    <w:rsid w:val="2A4822AF"/>
    <w:rsid w:val="2B6472A0"/>
    <w:rsid w:val="2D9F5C7A"/>
    <w:rsid w:val="3A01028D"/>
    <w:rsid w:val="3D4802BD"/>
    <w:rsid w:val="3E9A3643"/>
    <w:rsid w:val="419C0824"/>
    <w:rsid w:val="44244964"/>
    <w:rsid w:val="49203786"/>
    <w:rsid w:val="4C75160D"/>
    <w:rsid w:val="51D63E02"/>
    <w:rsid w:val="57404164"/>
    <w:rsid w:val="5E145AF2"/>
    <w:rsid w:val="5F372BCB"/>
    <w:rsid w:val="5F412942"/>
    <w:rsid w:val="60785E58"/>
    <w:rsid w:val="615805D6"/>
    <w:rsid w:val="7451111C"/>
    <w:rsid w:val="75D26FF0"/>
    <w:rsid w:val="775A30EF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723</Words>
  <Characters>853</Characters>
  <Lines>6</Lines>
  <Paragraphs>1</Paragraphs>
  <TotalTime>8</TotalTime>
  <ScaleCrop>false</ScaleCrop>
  <LinksUpToDate>false</LinksUpToDate>
  <CharactersWithSpaces>863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2023-08-10T07:07:00Z</dcterms:created>
  <dc:creator>Mr.X</dc:creator>
  <cp:lastModifiedBy>Administrator</cp:lastModifiedBy>
  <dcterms:modified xsi:type="dcterms:W3CDTF">2024-08-25T15:26:52Z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DAB245E2179C4C2289C514296F9EDF41_13</vt:lpwstr>
  </property>
</Properties>
</file>