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山东公用控股有限公司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spacing w:line="580" w:lineRule="exact"/>
        <w:ind w:firstLine="619" w:firstLineChars="200"/>
        <w:rPr>
          <w:rFonts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/>
        </w:rPr>
        <w:t>本信息公告口径说明：指标数据为山东公用法定合并报表口径。</w:t>
      </w:r>
    </w:p>
    <w:p>
      <w:pPr>
        <w:pStyle w:val="3"/>
        <w:spacing w:line="600" w:lineRule="exact"/>
        <w:ind w:firstLine="640" w:firstLineChars="200"/>
        <w:jc w:val="both"/>
        <w:rPr>
          <w:rFonts w:ascii="方正黑体简体" w:hAnsi="方正黑体简体" w:eastAsia="方正黑体简体" w:cs="方正黑体简体"/>
          <w:highlight w:val="none"/>
          <w:lang w:val="en-US"/>
        </w:rPr>
      </w:pP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highlight w:val="none"/>
          <w:lang w:val="en-US"/>
        </w:rPr>
        <w:t>公司基本情况</w:t>
      </w:r>
    </w:p>
    <w:p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highlight w:val="none"/>
          <w:lang w:val="en-US"/>
        </w:rPr>
        <w:t>（一）基本信息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highlight w:val="none"/>
          <w:lang w:val="en-US"/>
        </w:rPr>
      </w:pPr>
      <w:r>
        <w:rPr>
          <w:rFonts w:ascii="Times New Roman" w:hAnsi="Times New Roman" w:eastAsia="方正仿宋简体" w:cs="Times New Roman"/>
          <w:b/>
          <w:bCs/>
          <w:highlight w:val="none"/>
          <w:lang w:val="en-US"/>
        </w:rPr>
        <w:t>1.名    称：山东公用控股有限公司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highlight w:val="none"/>
          <w:lang w:val="en-US"/>
        </w:rPr>
      </w:pPr>
      <w:r>
        <w:rPr>
          <w:rFonts w:ascii="Times New Roman" w:hAnsi="Times New Roman" w:eastAsia="方正仿宋简体" w:cs="Times New Roman"/>
          <w:b/>
          <w:bCs/>
          <w:highlight w:val="none"/>
          <w:lang w:val="en-US"/>
        </w:rPr>
        <w:t>2.企业类型：有限责任公司（国有独资）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highlight w:val="none"/>
          <w:lang w:val="en-US"/>
        </w:rPr>
      </w:pPr>
      <w:r>
        <w:rPr>
          <w:rFonts w:ascii="Times New Roman" w:hAnsi="Times New Roman" w:eastAsia="方正仿宋简体" w:cs="Times New Roman"/>
          <w:b/>
          <w:bCs/>
          <w:highlight w:val="none"/>
          <w:lang w:val="en-US"/>
        </w:rPr>
        <w:t>3.成立日期：1993-06-27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highlight w:val="none"/>
          <w:lang w:val="en-US"/>
        </w:rPr>
      </w:pPr>
      <w:r>
        <w:rPr>
          <w:rFonts w:ascii="Times New Roman" w:hAnsi="Times New Roman" w:eastAsia="方正仿宋简体" w:cs="Times New Roman"/>
          <w:b/>
          <w:bCs/>
          <w:highlight w:val="none"/>
          <w:lang w:val="en-US"/>
        </w:rPr>
        <w:t>4.法定代表人：李</w:t>
      </w:r>
      <w:r>
        <w:rPr>
          <w:rFonts w:hint="eastAsia" w:ascii="Times New Roman" w:hAnsi="Times New Roman" w:eastAsia="方正仿宋简体" w:cs="Times New Roman"/>
          <w:b/>
          <w:bCs/>
          <w:highlight w:val="none"/>
          <w:lang w:val="en-US"/>
        </w:rPr>
        <w:t xml:space="preserve">  </w:t>
      </w:r>
      <w:r>
        <w:rPr>
          <w:rFonts w:ascii="Times New Roman" w:hAnsi="Times New Roman" w:eastAsia="方正仿宋简体" w:cs="Times New Roman"/>
          <w:b/>
          <w:bCs/>
          <w:highlight w:val="none"/>
          <w:lang w:val="en-US"/>
        </w:rPr>
        <w:t>鲁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highlight w:val="none"/>
          <w:lang w:val="en-US"/>
        </w:rPr>
      </w:pPr>
      <w:r>
        <w:rPr>
          <w:rFonts w:ascii="Times New Roman" w:hAnsi="Times New Roman" w:eastAsia="方正仿宋简体" w:cs="Times New Roman"/>
          <w:b/>
          <w:bCs/>
          <w:highlight w:val="none"/>
          <w:lang w:val="en-US"/>
        </w:rPr>
        <w:t>5.注册地址：济宁市红星中路23号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highlight w:val="none"/>
          <w:lang w:val="en-US"/>
        </w:rPr>
      </w:pPr>
      <w:r>
        <w:rPr>
          <w:rFonts w:ascii="Times New Roman" w:hAnsi="Times New Roman" w:eastAsia="方正仿宋简体" w:cs="Times New Roman"/>
          <w:b/>
          <w:bCs/>
          <w:highlight w:val="none"/>
          <w:lang w:val="en-US"/>
        </w:rPr>
        <w:t>6.经营范围</w:t>
      </w:r>
    </w:p>
    <w:p>
      <w:pPr>
        <w:pStyle w:val="3"/>
        <w:spacing w:line="580" w:lineRule="exact"/>
        <w:ind w:firstLine="643" w:firstLineChars="200"/>
        <w:jc w:val="both"/>
        <w:rPr>
          <w:rFonts w:ascii="方正仿宋简体" w:hAnsi="方正仿宋简体" w:eastAsia="方正仿宋简体" w:cs="方正仿宋简体"/>
          <w:b/>
          <w:bCs/>
          <w:highlight w:val="none"/>
          <w:lang w:val="en-US"/>
        </w:rPr>
      </w:pPr>
      <w:r>
        <w:rPr>
          <w:rFonts w:ascii="Times New Roman" w:hAnsi="Times New Roman" w:eastAsia="方正仿宋简体" w:cs="Times New Roman"/>
          <w:b/>
          <w:bCs/>
          <w:highlight w:val="none"/>
          <w:lang w:val="en-US"/>
        </w:rPr>
        <w:t>许可项目：自来水生产与供应；污水处理及其再生利用；热力生产和供应；建设工程施工；建设工程设计；水利工程建设监理；证券投资咨询；房地产开发经营；发电业务、输电业务、供（配）电业务；饮料生产。（依法须经批准的项目，经相关部门批准后方可开展经营活动，具体经营</w:t>
      </w:r>
      <w:r>
        <w:rPr>
          <w:rFonts w:hint="eastAsia" w:ascii="方正仿宋简体" w:hAnsi="方正仿宋简体" w:eastAsia="方正仿宋简体" w:cs="方正仿宋简体"/>
          <w:b/>
          <w:bCs/>
          <w:highlight w:val="none"/>
          <w:lang w:val="en-US"/>
        </w:rPr>
        <w:t>项目以相关部门批准文件或许可证件为准）。</w:t>
      </w:r>
    </w:p>
    <w:p>
      <w:pPr>
        <w:pStyle w:val="3"/>
        <w:spacing w:line="580" w:lineRule="exact"/>
        <w:ind w:firstLine="643" w:firstLineChars="200"/>
        <w:jc w:val="both"/>
        <w:rPr>
          <w:rFonts w:ascii="方正仿宋简体" w:hAnsi="方正仿宋简体" w:eastAsia="方正仿宋简体" w:cs="方正仿宋简体"/>
          <w:b/>
          <w:bCs/>
          <w:highlight w:val="none"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highlight w:val="none"/>
          <w:lang w:val="en-US"/>
        </w:rPr>
        <w:t>一般项目：水污染治理；水资源管理；创业投资（限投资未上市企业）；企业管理咨询；市场营销策划；私募股权投资基金管理、创业投资基金管理服务（须在中国证券投资基金业协会完成登记备案后方可从事经营活动）；销售代理；市政设施管理；财务咨询；储能技术服务；新能源原动设备销售；非居住房地产租赁；会议及展览服务；发电机及发电机组销售；工程管理服务；商业综合体管理服务；技术服务、技术开发、技术咨询、技术交流、技术转让、技术推广；专用化学产品销售（不含危险化学品）；煤炭及制品销售；五金产品批发；有色金属合金销售；建筑材料销售；合成材料销售；砼结构构件销售；建筑装饰材料销售；生态环境材料销售。（除依法须经批准的项目外，凭营业执照依法自主开展经营活动）</w:t>
      </w:r>
    </w:p>
    <w:p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highlight w:val="none"/>
          <w:lang w:val="en-US"/>
        </w:rPr>
        <w:t>（二）公司简介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highlight w:val="none"/>
          <w:lang w:val="en-US"/>
        </w:rPr>
      </w:pPr>
      <w:r>
        <w:rPr>
          <w:rFonts w:ascii="Times New Roman" w:hAnsi="Times New Roman" w:eastAsia="方正仿宋简体" w:cs="Times New Roman"/>
          <w:b/>
          <w:highlight w:val="none"/>
          <w:lang w:val="en-US"/>
        </w:rPr>
        <w:t>山东公用控股有限公司是集城乡水务、热电联产、燃气供应、环保科技、环境卫生、建设工程、置业地产、商业运营、金融服务于一体的城乡综合服务商。公司注册资本100亿元，下辖山东公用水务集团有限公司、山东公用热电集团有限公司、山东公用建工集团有限公司、山东公用环保科技集团有限公司、山东公用环卫集团有限公司及济宁中山公用水务有限公司、济宁华润燃气有限公司、济宁华源热电有限公司等参控股子公司，截至202</w:t>
      </w:r>
      <w:r>
        <w:rPr>
          <w:rFonts w:hint="eastAsia" w:ascii="Times New Roman" w:hAnsi="Times New Roman" w:eastAsia="方正仿宋简体" w:cs="Times New Roman"/>
          <w:b/>
          <w:highlight w:val="none"/>
          <w:lang w:val="en-US"/>
        </w:rPr>
        <w:t>4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年</w:t>
      </w:r>
      <w:r>
        <w:rPr>
          <w:rFonts w:hint="eastAsia" w:ascii="Times New Roman" w:hAnsi="Times New Roman" w:eastAsia="方正仿宋简体" w:cs="Times New Roman"/>
          <w:b/>
          <w:highlight w:val="none"/>
          <w:lang w:val="en-US"/>
        </w:rPr>
        <w:t>6月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底，公司资产总额达到</w:t>
      </w:r>
      <w:r>
        <w:rPr>
          <w:rFonts w:hint="eastAsia" w:ascii="Times New Roman" w:hAnsi="Times New Roman" w:eastAsia="方正仿宋简体" w:cs="Times New Roman"/>
          <w:b/>
          <w:highlight w:val="none"/>
          <w:lang w:val="en-US"/>
        </w:rPr>
        <w:t>719.48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亿元</w:t>
      </w:r>
      <w:r>
        <w:rPr>
          <w:rFonts w:hint="eastAsia" w:ascii="Times New Roman" w:hAnsi="Times New Roman" w:eastAsia="方正仿宋简体" w:cs="Times New Roman"/>
          <w:b/>
          <w:highlight w:val="none"/>
          <w:lang w:val="en-US" w:eastAsia="zh-CN"/>
        </w:rPr>
        <w:t>，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highlight w:val="none"/>
          <w:lang w:val="en-US"/>
        </w:rPr>
        <w:t>员工11000余人，日供水能力150万立方米，日污水治理能力180万立方米，供热面积6800余万平方米，天然气用户60余万户，服务人口超过1500万人。先后荣获全国文明单位、全国先进职工之家、山东省“攻坚克难奖”、山东省先进基层党组织、山东省五一劳动奖状等荣誉。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近年来，企业把握深化国企改革的历史机遇，</w:t>
      </w:r>
      <w:r>
        <w:rPr>
          <w:rFonts w:eastAsia="方正仿宋简体"/>
          <w:b/>
          <w:szCs w:val="32"/>
          <w:highlight w:val="none"/>
        </w:rPr>
        <w:t>以</w:t>
      </w:r>
      <w:r>
        <w:rPr>
          <w:rFonts w:hint="eastAsia" w:eastAsia="方正仿宋简体"/>
          <w:b/>
          <w:szCs w:val="32"/>
          <w:highlight w:val="none"/>
        </w:rPr>
        <w:t>“公用产业+基础设施</w:t>
      </w:r>
      <w:r>
        <w:rPr>
          <w:rFonts w:hint="eastAsia" w:eastAsia="方正仿宋简体"/>
          <w:b/>
          <w:szCs w:val="32"/>
          <w:highlight w:val="none"/>
          <w:lang w:val="en-US" w:eastAsia="zh-CN"/>
        </w:rPr>
        <w:t>+先进制造</w:t>
      </w:r>
      <w:r>
        <w:rPr>
          <w:rFonts w:hint="eastAsia" w:eastAsia="方正仿宋简体"/>
          <w:b/>
          <w:szCs w:val="32"/>
          <w:highlight w:val="none"/>
        </w:rPr>
        <w:t>”为驱动，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全力打造民生公用、活力公用、生态公用、智慧公用和品质公用“五个公用”，大力实施城市更新行动，建立了多元发展、多极支撑的现代产业体系。公用产业业务经营范围涉及到山东、新疆、陕西、</w:t>
      </w:r>
      <w:r>
        <w:rPr>
          <w:rFonts w:hint="eastAsia" w:eastAsia="方正仿宋简体"/>
          <w:b/>
          <w:szCs w:val="32"/>
          <w:highlight w:val="none"/>
        </w:rPr>
        <w:t>甘肃、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山西、河南等多个地区，还承建了包括济宁市主城区内环高架及连接线，</w:t>
      </w:r>
      <w:r>
        <w:rPr>
          <w:rFonts w:hint="eastAsia" w:eastAsia="方正仿宋简体"/>
          <w:b/>
          <w:szCs w:val="32"/>
          <w:highlight w:val="none"/>
          <w:lang w:val="en-US" w:eastAsia="zh-CN"/>
        </w:rPr>
        <w:t>崇德大道（</w:t>
      </w:r>
      <w:r>
        <w:rPr>
          <w:rFonts w:hint="eastAsia" w:eastAsia="方正仿宋简体"/>
          <w:b/>
          <w:szCs w:val="32"/>
          <w:highlight w:val="none"/>
        </w:rPr>
        <w:t>济宁</w:t>
      </w:r>
      <w:r>
        <w:rPr>
          <w:rFonts w:hint="eastAsia" w:eastAsia="方正仿宋简体"/>
          <w:b/>
          <w:szCs w:val="32"/>
          <w:highlight w:val="none"/>
          <w:lang w:val="en-US" w:eastAsia="zh-CN"/>
        </w:rPr>
        <w:t>主城区</w:t>
      </w:r>
      <w:r>
        <w:rPr>
          <w:rFonts w:hint="eastAsia" w:eastAsia="方正仿宋简体"/>
          <w:b/>
          <w:szCs w:val="32"/>
          <w:highlight w:val="none"/>
        </w:rPr>
        <w:t>至曲阜快速路</w:t>
      </w:r>
      <w:r>
        <w:rPr>
          <w:rFonts w:hint="eastAsia" w:eastAsia="方正仿宋简体"/>
          <w:b/>
          <w:szCs w:val="32"/>
          <w:highlight w:val="none"/>
          <w:lang w:val="en-US" w:eastAsia="zh-CN"/>
        </w:rPr>
        <w:t>）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，济邹、兖郓高速公路，共青团路北延高铁连接线，济宁市农村生活污水治理，济宁市引黄西线工程，里彦电厂、运河电厂、嘉祥电厂、华源热电四大热源入城，</w:t>
      </w:r>
      <w:r>
        <w:rPr>
          <w:rFonts w:hint="eastAsia" w:eastAsia="方正仿宋简体"/>
          <w:b/>
          <w:szCs w:val="32"/>
          <w:highlight w:val="none"/>
        </w:rPr>
        <w:t>长江、运河地表水厂等一批省、市重点基础设施建设项目。</w:t>
      </w:r>
      <w:r>
        <w:rPr>
          <w:rFonts w:ascii="Times New Roman" w:hAnsi="Times New Roman" w:eastAsia="方正仿宋简体" w:cs="Times New Roman"/>
          <w:b/>
          <w:highlight w:val="none"/>
          <w:lang w:val="en-US"/>
        </w:rPr>
        <w:t>目前，山东公用的整体规模和综合实力已处于省内领先，进入全国第一方阵。</w:t>
      </w: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highlight w:val="none"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spacing w:line="600" w:lineRule="exact"/>
        <w:ind w:firstLine="6325" w:firstLineChars="21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1"/>
        <w:gridCol w:w="2940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2940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  <w:tc>
          <w:tcPr>
            <w:tcW w:w="2970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48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814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57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733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432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40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720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385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097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92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962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项  目</w:t>
            </w:r>
          </w:p>
        </w:tc>
        <w:tc>
          <w:tcPr>
            <w:tcW w:w="2940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期末余额</w:t>
            </w:r>
          </w:p>
        </w:tc>
        <w:tc>
          <w:tcPr>
            <w:tcW w:w="2970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highlight w:val="none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194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27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767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982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340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466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98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981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025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81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294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854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319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29</w:t>
            </w:r>
          </w:p>
        </w:tc>
        <w:tc>
          <w:tcPr>
            <w:tcW w:w="2970" w:type="dxa"/>
            <w:vAlign w:val="center"/>
          </w:tcPr>
          <w:p>
            <w:pPr>
              <w:pStyle w:val="3"/>
              <w:spacing w:line="60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86,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957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17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spacing w:line="580" w:lineRule="exact"/>
        <w:ind w:firstLine="645"/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</w:pP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4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中期，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公司实现营业总收入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74.88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亿元，完成全年预算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149.39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50.12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2.91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亿元，完成全年预算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5.97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亿元的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highlight w:val="none"/>
          <w:lang w:val="en-US"/>
        </w:rPr>
        <w:t>48.74</w:t>
      </w:r>
      <w:r>
        <w:rPr>
          <w:rFonts w:ascii="Times New Roman" w:hAnsi="Times New Roman" w:eastAsia="方正仿宋简体" w:cs="Times New Roman"/>
          <w:b/>
          <w:sz w:val="32"/>
          <w:szCs w:val="32"/>
          <w:highlight w:val="none"/>
        </w:rPr>
        <w:t>%。</w:t>
      </w:r>
    </w:p>
    <w:p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内重大事项及对企业的影响</w:t>
      </w:r>
    </w:p>
    <w:p>
      <w:pPr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lang w:val="en-US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lang w:val="en-US"/>
        </w:rPr>
        <w:t>无。</w:t>
      </w: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none"/>
          <w:lang w:val="en-US"/>
        </w:rPr>
      </w:pPr>
    </w:p>
    <w:p>
      <w:pPr>
        <w:rPr>
          <w:highlight w:val="none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wOWIyY2ZkNzVjMDQ2NzQ1MDM0Y2JhOGVjNGRlMzQ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11D529E3"/>
    <w:rsid w:val="17303DFB"/>
    <w:rsid w:val="208262A6"/>
    <w:rsid w:val="2E9539DE"/>
    <w:rsid w:val="2F690913"/>
    <w:rsid w:val="32DA0AFB"/>
    <w:rsid w:val="359C4116"/>
    <w:rsid w:val="365668DF"/>
    <w:rsid w:val="3EB218E1"/>
    <w:rsid w:val="40BD03D8"/>
    <w:rsid w:val="46625A9C"/>
    <w:rsid w:val="5D195C77"/>
    <w:rsid w:val="5E5E5DDC"/>
    <w:rsid w:val="62241ADD"/>
    <w:rsid w:val="67C52FC9"/>
    <w:rsid w:val="6AF93B69"/>
    <w:rsid w:val="6D316FBD"/>
    <w:rsid w:val="73FE1D6C"/>
    <w:rsid w:val="746005BD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237</Words>
  <Characters>1355</Characters>
  <Lines>11</Lines>
  <Paragraphs>3</Paragraphs>
  <TotalTime>2</TotalTime>
  <ScaleCrop>false</ScaleCrop>
  <LinksUpToDate>false</LinksUpToDate>
  <CharactersWithSpaces>1589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2024-08-30T09:28:14Z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A9B2586D9CEF4637A1445F7C044CF357</vt:lpwstr>
  </property>
</Properties>
</file>