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868BC4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济宁利客商贸有限公司</w:t>
      </w:r>
    </w:p>
    <w:p w14:paraId="200E33DC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2023年度财务等重大信息公开</w:t>
      </w:r>
    </w:p>
    <w:p w14:paraId="5F22950C">
      <w:pPr>
        <w:pStyle w:val="6"/>
        <w:spacing w:line="600" w:lineRule="exact"/>
        <w:ind w:firstLine="320" w:firstLineChars="100"/>
        <w:rPr>
          <w:rFonts w:ascii="方正黑体简体" w:hAnsi="方正黑体简体" w:eastAsia="方正黑体简体" w:cs="方正黑体简体"/>
          <w:sz w:val="32"/>
          <w:szCs w:val="32"/>
        </w:rPr>
      </w:pPr>
    </w:p>
    <w:p w14:paraId="08B5AB91">
      <w:pPr>
        <w:pStyle w:val="6"/>
        <w:spacing w:line="600" w:lineRule="exact"/>
        <w:ind w:firstLine="64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一、企业基本情况</w:t>
      </w:r>
    </w:p>
    <w:p w14:paraId="663E227B">
      <w:pPr>
        <w:pStyle w:val="6"/>
        <w:spacing w:line="600" w:lineRule="exact"/>
        <w:ind w:firstLine="64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1.企业名称：济宁利客商贸有限公司</w:t>
      </w:r>
    </w:p>
    <w:p w14:paraId="4FBCB5F2">
      <w:pPr>
        <w:pStyle w:val="6"/>
        <w:spacing w:line="600" w:lineRule="exact"/>
        <w:ind w:left="640" w:firstLine="0" w:firstLineChars="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2.法定代表人：陈勇强</w:t>
      </w:r>
    </w:p>
    <w:p w14:paraId="7BB95CEF">
      <w:pPr>
        <w:pStyle w:val="6"/>
        <w:spacing w:line="600" w:lineRule="exact"/>
        <w:ind w:left="640" w:firstLine="0" w:firstLineChars="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3.股东名称：山东公用商业集团有限公司</w:t>
      </w:r>
    </w:p>
    <w:p w14:paraId="1C180D02">
      <w:pPr>
        <w:pStyle w:val="6"/>
        <w:spacing w:line="600" w:lineRule="exact"/>
        <w:ind w:left="640" w:firstLine="0" w:firstLineChars="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4.注册资本：500万元</w:t>
      </w:r>
    </w:p>
    <w:p w14:paraId="4FA71D65">
      <w:pPr>
        <w:pStyle w:val="6"/>
        <w:spacing w:line="600" w:lineRule="exact"/>
        <w:ind w:left="640" w:firstLine="0" w:firstLineChars="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5.注册地址：济宁市洸河路与共青团路新体育馆南及西邻所</w:t>
      </w:r>
    </w:p>
    <w:p w14:paraId="024C39C0">
      <w:pPr>
        <w:pStyle w:val="6"/>
        <w:spacing w:line="600" w:lineRule="exact"/>
        <w:ind w:firstLine="0" w:firstLineChars="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有地下商城</w:t>
      </w:r>
    </w:p>
    <w:p w14:paraId="4780A32D">
      <w:pPr>
        <w:pStyle w:val="6"/>
        <w:spacing w:line="600" w:lineRule="exact"/>
        <w:ind w:left="640" w:firstLine="0" w:firstLineChars="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6.办公地址：济宁市任城区体育馆西路</w:t>
      </w:r>
    </w:p>
    <w:p w14:paraId="7E592F63">
      <w:pPr>
        <w:pStyle w:val="6"/>
        <w:spacing w:line="600" w:lineRule="exact"/>
        <w:ind w:left="640" w:firstLine="0" w:firstLineChars="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7.邮政编码：272000</w:t>
      </w:r>
    </w:p>
    <w:p w14:paraId="3CD9D71F">
      <w:pPr>
        <w:pStyle w:val="6"/>
        <w:spacing w:line="600" w:lineRule="exact"/>
        <w:ind w:left="640" w:firstLine="0" w:firstLineChars="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8.联系电话：0537-6555696</w:t>
      </w:r>
    </w:p>
    <w:p w14:paraId="627C5ED5">
      <w:pPr>
        <w:pStyle w:val="6"/>
        <w:spacing w:line="600" w:lineRule="exact"/>
        <w:ind w:left="640" w:firstLine="0" w:firstLineChars="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9.电子信箱：likegouwu@126.com</w:t>
      </w:r>
    </w:p>
    <w:p w14:paraId="3FDE173A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10.企业简介:</w:t>
      </w:r>
    </w:p>
    <w:p w14:paraId="420FFBF8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济宁利客商贸有限公司是山东公用控股有限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司（原济宁供水集团总公司）的全资下属公司，地处共青团路与洸河路交汇处济宁市新体育馆地下。成立于2013年，注册资金500万元，公司拥有雄厚的经济基础、优越的地理位置、完善的管理模式、严谨的经营体系、完备的设施和专业的人员配置，目前拥有员工300人。</w:t>
      </w:r>
    </w:p>
    <w:p w14:paraId="00734020">
      <w:pPr>
        <w:spacing w:line="60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济宁利客商贸公司发挥周边商圈区位优势，目前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有三家店,分别是新体育馆、杨柳店、京杭店；并将其打造成一个集购物、餐饮、娱乐为一体的商业综合体，商品涵盖日用百货、家用电器、粮油副食、烟酒糖茶、冷鲜食品、即食面点、珠宝饰品、服饰鞋帽、运动器材、汽车饰品、高端数码城、电玩城等领域。购物广场采取线下与线上运营相结合，以线下实体店运营为主、以线上运营为辅的商业运作方式。</w:t>
      </w:r>
    </w:p>
    <w:p w14:paraId="28D5B668">
      <w:pPr>
        <w:spacing w:line="60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济宁利客商贸公司经营范围涵盖商品零售（百货超市）批发、物流配送、连锁经营管理、电子商务等板块；以利客购物广场为旗舰，利用统一的物流配送和其他资源体系，向周边辐射，发展分部及连锁便利店，逐步打造集团商业品牌。</w:t>
      </w:r>
    </w:p>
    <w:p w14:paraId="3A359A3E">
      <w:pPr>
        <w:spacing w:line="60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2020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年公司在太白新区开设利客购物京杭店，</w:t>
      </w:r>
      <w:r>
        <w:rPr>
          <w:rFonts w:ascii="Times New Roman" w:hAnsi="Times New Roman" w:eastAsia="方正仿宋简体"/>
          <w:b/>
          <w:bCs/>
          <w:sz w:val="32"/>
          <w:szCs w:val="32"/>
        </w:rPr>
        <w:t>2021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年在济宁东部高新技术开发区，开设了大型商业综合体杨柳购物中心，并计划在将来济宁中心城区、各县市及周边地市建设连锁商业综合体和便利店，在商贸行业创造专业化、个性化体系，创建鲁西南商贸领域的航母，为集团崛起提供新的支撑。</w:t>
      </w:r>
    </w:p>
    <w:p w14:paraId="75ACD0AA">
      <w:pPr>
        <w:spacing w:line="60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利客购物本着“想顾客之想，利顾客之利”的宗旨，在经营上管理模式上最大限度地降低商品成本并让利给消费者。用服务与真诚换取你的信任与支持，互惠互利，共创双赢！</w:t>
      </w:r>
    </w:p>
    <w:p w14:paraId="336A4831">
      <w:pPr>
        <w:spacing w:line="60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未来几年，利客购物将坚持以精确的经营定位，努力成为济宁地区零售行业的领航人.在机遇中寻求发展，在诚信中铸就辉煌，为将利客购物发展成为济宁地区最强零售商而奋斗！</w:t>
      </w:r>
    </w:p>
    <w:p w14:paraId="7704CEA1">
      <w:pPr>
        <w:pStyle w:val="6"/>
        <w:spacing w:line="600" w:lineRule="exact"/>
        <w:ind w:firstLine="64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</w:p>
    <w:p w14:paraId="6FD9A50D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595" w:firstLineChars="200"/>
        <w:textAlignment w:val="baseline"/>
        <w:rPr>
          <w:rFonts w:ascii="Times New Roman" w:hAnsi="Times New Roman" w:eastAsia="方正仿宋简体"/>
          <w:b/>
          <w:bCs/>
          <w:spacing w:val="-12"/>
          <w:sz w:val="32"/>
          <w:szCs w:val="32"/>
        </w:rPr>
      </w:pPr>
      <w:r>
        <w:rPr>
          <w:rFonts w:ascii="Times New Roman" w:hAnsi="Times New Roman" w:eastAsia="方正仿宋简体"/>
          <w:b/>
          <w:bCs/>
          <w:spacing w:val="-12"/>
          <w:sz w:val="32"/>
          <w:szCs w:val="32"/>
        </w:rPr>
        <w:t>1.资产总额：</w:t>
      </w:r>
      <w:r>
        <w:rPr>
          <w:rFonts w:hint="eastAsia" w:ascii="Times New Roman" w:hAnsi="Times New Roman" w:eastAsia="方正仿宋简体"/>
          <w:b/>
          <w:bCs/>
          <w:spacing w:val="-12"/>
          <w:sz w:val="32"/>
          <w:szCs w:val="32"/>
        </w:rPr>
        <w:t>16056</w:t>
      </w:r>
      <w:r>
        <w:rPr>
          <w:rFonts w:ascii="Times New Roman" w:hAnsi="Times New Roman" w:eastAsia="方正仿宋简体"/>
          <w:b/>
          <w:bCs/>
          <w:spacing w:val="-12"/>
          <w:sz w:val="32"/>
          <w:szCs w:val="32"/>
        </w:rPr>
        <w:t>万元，比年初增加</w:t>
      </w:r>
      <w:r>
        <w:rPr>
          <w:rFonts w:hint="eastAsia" w:ascii="Times New Roman" w:hAnsi="Times New Roman" w:eastAsia="方正仿宋简体"/>
          <w:b/>
          <w:bCs/>
          <w:spacing w:val="-12"/>
          <w:sz w:val="32"/>
          <w:szCs w:val="32"/>
        </w:rPr>
        <w:t>5469</w:t>
      </w:r>
      <w:r>
        <w:rPr>
          <w:rFonts w:ascii="Times New Roman" w:hAnsi="Times New Roman" w:eastAsia="方正仿宋简体"/>
          <w:b/>
          <w:bCs/>
          <w:spacing w:val="-12"/>
          <w:sz w:val="32"/>
          <w:szCs w:val="32"/>
        </w:rPr>
        <w:t>万元，增幅为</w:t>
      </w:r>
      <w:r>
        <w:rPr>
          <w:rFonts w:hint="eastAsia" w:ascii="Times New Roman" w:hAnsi="Times New Roman" w:eastAsia="方正仿宋简体"/>
          <w:b/>
          <w:bCs/>
          <w:spacing w:val="-12"/>
          <w:sz w:val="32"/>
          <w:szCs w:val="32"/>
        </w:rPr>
        <w:t>52</w:t>
      </w:r>
      <w:r>
        <w:rPr>
          <w:rFonts w:ascii="Times New Roman" w:hAnsi="Times New Roman" w:eastAsia="方正仿宋简体"/>
          <w:b/>
          <w:bCs/>
          <w:spacing w:val="-12"/>
          <w:sz w:val="32"/>
          <w:szCs w:val="32"/>
        </w:rPr>
        <w:t>%；</w:t>
      </w:r>
    </w:p>
    <w:p w14:paraId="2BE79C61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left="16" w:right="94" w:firstLine="650"/>
        <w:textAlignment w:val="baseline"/>
        <w:rPr>
          <w:rFonts w:ascii="Times New Roman" w:hAnsi="Times New Roman" w:eastAsia="方正仿宋简体"/>
          <w:b/>
          <w:bCs/>
          <w:spacing w:val="-13"/>
          <w:sz w:val="32"/>
          <w:szCs w:val="32"/>
        </w:rPr>
      </w:pPr>
      <w:r>
        <w:rPr>
          <w:rFonts w:ascii="Times New Roman" w:hAnsi="Times New Roman" w:eastAsia="方正仿宋简体"/>
          <w:b/>
          <w:bCs/>
          <w:spacing w:val="-13"/>
          <w:sz w:val="32"/>
          <w:szCs w:val="32"/>
        </w:rPr>
        <w:t>2.所有者权益：</w:t>
      </w:r>
      <w:r>
        <w:rPr>
          <w:rFonts w:hint="eastAsia" w:ascii="Times New Roman" w:hAnsi="Times New Roman" w:eastAsia="方正仿宋简体"/>
          <w:b/>
          <w:bCs/>
          <w:spacing w:val="-13"/>
          <w:sz w:val="32"/>
          <w:szCs w:val="32"/>
        </w:rPr>
        <w:t>-7813</w:t>
      </w:r>
      <w:r>
        <w:rPr>
          <w:rFonts w:ascii="Times New Roman" w:hAnsi="Times New Roman" w:eastAsia="方正仿宋简体"/>
          <w:b/>
          <w:bCs/>
          <w:spacing w:val="-13"/>
          <w:sz w:val="32"/>
          <w:szCs w:val="32"/>
        </w:rPr>
        <w:t>万元，比年初增加</w:t>
      </w:r>
      <w:r>
        <w:rPr>
          <w:rFonts w:hint="eastAsia" w:ascii="Times New Roman" w:hAnsi="Times New Roman" w:eastAsia="方正仿宋简体"/>
          <w:b/>
          <w:bCs/>
          <w:spacing w:val="-13"/>
          <w:sz w:val="32"/>
          <w:szCs w:val="32"/>
        </w:rPr>
        <w:t>-2649</w:t>
      </w:r>
      <w:r>
        <w:rPr>
          <w:rFonts w:ascii="Times New Roman" w:hAnsi="Times New Roman" w:eastAsia="方正仿宋简体"/>
          <w:b/>
          <w:bCs/>
          <w:spacing w:val="-13"/>
          <w:sz w:val="32"/>
          <w:szCs w:val="32"/>
        </w:rPr>
        <w:t>万元，增幅为</w:t>
      </w:r>
      <w:r>
        <w:rPr>
          <w:rFonts w:hint="eastAsia" w:ascii="Times New Roman" w:hAnsi="Times New Roman" w:eastAsia="方正仿宋简体"/>
          <w:b/>
          <w:bCs/>
          <w:spacing w:val="-13"/>
          <w:sz w:val="32"/>
          <w:szCs w:val="32"/>
        </w:rPr>
        <w:t>51</w:t>
      </w:r>
      <w:r>
        <w:rPr>
          <w:rFonts w:ascii="Times New Roman" w:hAnsi="Times New Roman" w:eastAsia="方正仿宋简体"/>
          <w:b/>
          <w:bCs/>
          <w:spacing w:val="-13"/>
          <w:sz w:val="32"/>
          <w:szCs w:val="32"/>
        </w:rPr>
        <w:t>%（</w:t>
      </w:r>
      <w:r>
        <w:rPr>
          <w:rFonts w:hint="eastAsia" w:ascii="Times New Roman" w:hAnsi="Times New Roman" w:eastAsia="方正仿宋简体"/>
          <w:b/>
          <w:bCs/>
          <w:spacing w:val="-13"/>
          <w:sz w:val="32"/>
          <w:szCs w:val="32"/>
        </w:rPr>
        <w:t>负增长</w:t>
      </w:r>
      <w:r>
        <w:rPr>
          <w:rFonts w:ascii="Times New Roman" w:hAnsi="Times New Roman" w:eastAsia="方正仿宋简体"/>
          <w:b/>
          <w:bCs/>
          <w:spacing w:val="-13"/>
          <w:sz w:val="32"/>
          <w:szCs w:val="32"/>
        </w:rPr>
        <w:t>）；</w:t>
      </w:r>
    </w:p>
    <w:p w14:paraId="52425B1B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left="8" w:right="94" w:firstLine="644"/>
        <w:textAlignment w:val="baseline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pacing w:val="-15"/>
          <w:w w:val="98"/>
          <w:sz w:val="32"/>
          <w:szCs w:val="32"/>
        </w:rPr>
        <w:t>3.营业总收入：</w:t>
      </w:r>
      <w:r>
        <w:rPr>
          <w:rFonts w:hint="eastAsia" w:ascii="Times New Roman" w:hAnsi="Times New Roman" w:eastAsia="方正仿宋简体"/>
          <w:b/>
          <w:bCs/>
          <w:spacing w:val="-15"/>
          <w:w w:val="98"/>
          <w:sz w:val="32"/>
          <w:szCs w:val="32"/>
        </w:rPr>
        <w:t>10073</w:t>
      </w:r>
      <w:r>
        <w:rPr>
          <w:rFonts w:ascii="Times New Roman" w:hAnsi="Times New Roman" w:eastAsia="方正仿宋简体"/>
          <w:b/>
          <w:bCs/>
          <w:spacing w:val="-15"/>
          <w:w w:val="98"/>
          <w:sz w:val="32"/>
          <w:szCs w:val="32"/>
        </w:rPr>
        <w:t>万元；</w:t>
      </w:r>
    </w:p>
    <w:p w14:paraId="28459FB1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left="8" w:right="94" w:firstLine="649"/>
        <w:textAlignment w:val="baseline"/>
        <w:rPr>
          <w:rFonts w:ascii="Times New Roman" w:hAnsi="Times New Roman" w:eastAsia="方正仿宋简体"/>
          <w:b/>
          <w:bCs/>
          <w:spacing w:val="-15"/>
          <w:w w:val="98"/>
          <w:sz w:val="32"/>
          <w:szCs w:val="32"/>
        </w:rPr>
      </w:pPr>
      <w:r>
        <w:rPr>
          <w:rFonts w:ascii="Times New Roman" w:hAnsi="Times New Roman" w:eastAsia="方正仿宋简体"/>
          <w:b/>
          <w:bCs/>
          <w:spacing w:val="-15"/>
          <w:w w:val="98"/>
          <w:sz w:val="32"/>
          <w:szCs w:val="32"/>
        </w:rPr>
        <w:t>4.营业总成本：</w:t>
      </w:r>
      <w:r>
        <w:rPr>
          <w:rFonts w:hint="eastAsia" w:ascii="Times New Roman" w:hAnsi="Times New Roman" w:eastAsia="方正仿宋简体"/>
          <w:b/>
          <w:bCs/>
          <w:spacing w:val="-15"/>
          <w:w w:val="98"/>
          <w:sz w:val="32"/>
          <w:szCs w:val="32"/>
        </w:rPr>
        <w:t>12760</w:t>
      </w:r>
      <w:r>
        <w:rPr>
          <w:rFonts w:ascii="Times New Roman" w:hAnsi="Times New Roman" w:eastAsia="方正仿宋简体"/>
          <w:b/>
          <w:bCs/>
          <w:spacing w:val="-15"/>
          <w:w w:val="98"/>
          <w:sz w:val="32"/>
          <w:szCs w:val="32"/>
        </w:rPr>
        <w:t>万元。</w:t>
      </w:r>
    </w:p>
    <w:p w14:paraId="7D92C59F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left="638" w:leftChars="304" w:firstLine="0" w:firstLineChars="0"/>
        <w:textAlignment w:val="baseline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三、董事及高级管理人员的任职情况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br w:type="textWrapping"/>
      </w:r>
      <w:r>
        <w:rPr>
          <w:rFonts w:ascii="Times New Roman" w:hAnsi="Times New Roman" w:eastAsia="方正仿宋简体"/>
          <w:b/>
          <w:bCs/>
          <w:spacing w:val="-3"/>
          <w:sz w:val="32"/>
          <w:szCs w:val="32"/>
        </w:rPr>
        <w:t>1.营业总收入：</w:t>
      </w:r>
      <w:r>
        <w:rPr>
          <w:rFonts w:hint="eastAsia" w:ascii="Times New Roman" w:hAnsi="Times New Roman" w:eastAsia="方正仿宋简体"/>
          <w:b/>
          <w:bCs/>
          <w:spacing w:val="-3"/>
          <w:sz w:val="32"/>
          <w:szCs w:val="32"/>
        </w:rPr>
        <w:t>10073</w:t>
      </w:r>
      <w:r>
        <w:rPr>
          <w:rFonts w:ascii="Times New Roman" w:hAnsi="Times New Roman" w:eastAsia="方正仿宋简体"/>
          <w:b/>
          <w:bCs/>
          <w:spacing w:val="-3"/>
          <w:sz w:val="32"/>
          <w:szCs w:val="32"/>
        </w:rPr>
        <w:t>万元完成全年预算的</w:t>
      </w:r>
      <w:r>
        <w:rPr>
          <w:rFonts w:hint="eastAsia" w:ascii="Times New Roman" w:hAnsi="Times New Roman" w:eastAsia="方正仿宋简体"/>
          <w:b/>
          <w:bCs/>
          <w:spacing w:val="-3"/>
          <w:sz w:val="32"/>
          <w:szCs w:val="32"/>
        </w:rPr>
        <w:t>72</w:t>
      </w:r>
      <w:r>
        <w:rPr>
          <w:rFonts w:ascii="Times New Roman" w:hAnsi="Times New Roman" w:eastAsia="方正仿宋简体"/>
          <w:b/>
          <w:bCs/>
          <w:spacing w:val="-13"/>
          <w:sz w:val="32"/>
          <w:szCs w:val="32"/>
        </w:rPr>
        <w:t>%。</w:t>
      </w:r>
    </w:p>
    <w:p w14:paraId="0E72BCEC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left="2" w:right="95" w:firstLine="651"/>
        <w:textAlignment w:val="baseline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pacing w:val="-15"/>
          <w:w w:val="97"/>
          <w:sz w:val="32"/>
          <w:szCs w:val="32"/>
        </w:rPr>
        <w:t>2.利润总额：</w:t>
      </w:r>
      <w:r>
        <w:rPr>
          <w:rFonts w:hint="eastAsia" w:ascii="Times New Roman" w:hAnsi="Times New Roman" w:eastAsia="方正仿宋简体"/>
          <w:b/>
          <w:bCs/>
          <w:spacing w:val="-15"/>
          <w:w w:val="97"/>
          <w:sz w:val="32"/>
          <w:szCs w:val="32"/>
        </w:rPr>
        <w:t>-2697</w:t>
      </w:r>
      <w:r>
        <w:rPr>
          <w:rFonts w:ascii="Times New Roman" w:hAnsi="Times New Roman" w:eastAsia="方正仿宋简体"/>
          <w:b/>
          <w:bCs/>
          <w:spacing w:val="-15"/>
          <w:w w:val="97"/>
          <w:sz w:val="32"/>
          <w:szCs w:val="32"/>
        </w:rPr>
        <w:t>万元</w:t>
      </w:r>
      <w:r>
        <w:rPr>
          <w:rFonts w:ascii="Times New Roman" w:hAnsi="Times New Roman" w:eastAsia="方正仿宋简体"/>
          <w:b/>
          <w:bCs/>
          <w:spacing w:val="-3"/>
          <w:sz w:val="32"/>
          <w:szCs w:val="32"/>
        </w:rPr>
        <w:t>完成全年预算的</w:t>
      </w:r>
      <w:r>
        <w:rPr>
          <w:rFonts w:hint="eastAsia" w:ascii="Times New Roman" w:hAnsi="Times New Roman" w:eastAsia="方正仿宋简体"/>
          <w:b/>
          <w:bCs/>
          <w:spacing w:val="-3"/>
          <w:sz w:val="32"/>
          <w:szCs w:val="32"/>
        </w:rPr>
        <w:t>674</w:t>
      </w:r>
      <w:r>
        <w:rPr>
          <w:rFonts w:ascii="Times New Roman" w:hAnsi="Times New Roman" w:eastAsia="方正仿宋简体"/>
          <w:b/>
          <w:bCs/>
          <w:spacing w:val="-13"/>
          <w:sz w:val="32"/>
          <w:szCs w:val="32"/>
        </w:rPr>
        <w:t>%</w:t>
      </w:r>
      <w:r>
        <w:rPr>
          <w:rFonts w:ascii="Times New Roman" w:hAnsi="Times New Roman" w:eastAsia="方正仿宋简体"/>
          <w:b/>
          <w:bCs/>
          <w:spacing w:val="-15"/>
          <w:w w:val="97"/>
          <w:sz w:val="32"/>
          <w:szCs w:val="32"/>
        </w:rPr>
        <w:t>。</w:t>
      </w:r>
    </w:p>
    <w:p w14:paraId="424F5D22">
      <w:pPr>
        <w:pStyle w:val="6"/>
        <w:spacing w:line="600" w:lineRule="exact"/>
        <w:ind w:firstLine="64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执行董事：陈勇强</w:t>
      </w:r>
    </w:p>
    <w:p w14:paraId="769606FC">
      <w:pPr>
        <w:pStyle w:val="6"/>
        <w:spacing w:line="600" w:lineRule="exact"/>
        <w:ind w:firstLine="64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副总经理：李 永</w:t>
      </w:r>
    </w:p>
    <w:p w14:paraId="13BDEA36">
      <w:pPr>
        <w:pStyle w:val="6"/>
        <w:spacing w:line="600" w:lineRule="exact"/>
        <w:ind w:firstLine="64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副总经理：赵 凤</w:t>
      </w:r>
    </w:p>
    <w:p w14:paraId="1A327B77">
      <w:pPr>
        <w:pStyle w:val="6"/>
        <w:spacing w:line="600" w:lineRule="exact"/>
        <w:ind w:left="638" w:leftChars="304" w:firstLine="0" w:firstLineChars="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财务总监：王 勇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br w:type="textWrapping"/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总经理助理：王绪峰</w:t>
      </w:r>
    </w:p>
    <w:p w14:paraId="21651095">
      <w:pPr>
        <w:pStyle w:val="6"/>
        <w:spacing w:line="600" w:lineRule="exact"/>
        <w:ind w:firstLine="64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四、企业履行社会责任情况</w:t>
      </w:r>
    </w:p>
    <w:p w14:paraId="16DC41F6">
      <w:pPr>
        <w:pStyle w:val="6"/>
        <w:spacing w:line="600" w:lineRule="exact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公司现有在册人员</w:t>
      </w:r>
      <w:r>
        <w:rPr>
          <w:rFonts w:ascii="Times New Roman" w:hAnsi="Times New Roman" w:eastAsia="方正仿宋简体"/>
          <w:b/>
          <w:bCs/>
          <w:sz w:val="32"/>
          <w:szCs w:val="32"/>
        </w:rPr>
        <w:t>28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人。</w:t>
      </w:r>
    </w:p>
    <w:p w14:paraId="2E6F227D">
      <w:pPr>
        <w:rPr>
          <w:rFonts w:asciiTheme="majorEastAsia" w:hAnsiTheme="majorEastAsia" w:eastAsiaTheme="majorEastAsia"/>
        </w:rPr>
      </w:pPr>
    </w:p>
    <w:p w14:paraId="0713C69C"/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09FC6619"/>
    <w:rsid w:val="00377590"/>
    <w:rsid w:val="005967D8"/>
    <w:rsid w:val="00AF1801"/>
    <w:rsid w:val="00DD52BC"/>
    <w:rsid w:val="04E62225"/>
    <w:rsid w:val="081A5B1D"/>
    <w:rsid w:val="09FC6619"/>
    <w:rsid w:val="0A6C2012"/>
    <w:rsid w:val="0DF54C75"/>
    <w:rsid w:val="11B612EC"/>
    <w:rsid w:val="24073A55"/>
    <w:rsid w:val="271D4E61"/>
    <w:rsid w:val="388B688E"/>
    <w:rsid w:val="3F8213B4"/>
    <w:rsid w:val="40D730A3"/>
    <w:rsid w:val="5ED708E8"/>
    <w:rsid w:val="67391B54"/>
    <w:rsid w:val="6DED6BBF"/>
    <w:rsid w:val="78305BD7"/>
    <w:rsid w:val="7EA65EF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1064</Words>
  <Characters>1172</Characters>
  <Lines>8</Lines>
  <Paragraphs>2</Paragraphs>
  <TotalTime>12</TotalTime>
  <ScaleCrop>false</ScaleCrop>
  <LinksUpToDate>false</LinksUpToDate>
  <CharactersWithSpaces>1175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2023-07-04T08:19:00Z</dcterms:created>
  <dc:creator>瓦林卡</dc:creator>
  <cp:lastModifiedBy>Administrator</cp:lastModifiedBy>
  <dcterms:modified xsi:type="dcterms:W3CDTF">2024-06-29T17:15:22Z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D185BCF8C8714A7B824144C89AA514CA_13</vt:lpwstr>
  </property>
</Properties>
</file>