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B2DC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lang w:eastAsia="zh-CN"/>
        </w:rPr>
      </w:pPr>
      <w:bookmarkStart w:id="0" w:name="_GoBack"/>
      <w:r>
        <w:rPr>
          <w:rFonts w:hint="default" w:ascii="Times New Roman" w:hAnsi="Times New Roman" w:eastAsia="方正小标宋简体" w:cs="Times New Roman"/>
          <w:b/>
          <w:bCs/>
          <w:sz w:val="44"/>
          <w:szCs w:val="44"/>
          <w:lang w:eastAsia="zh-CN"/>
        </w:rPr>
        <w:t>山东公用设计集团有限公司</w:t>
      </w:r>
    </w:p>
    <w:p w14:paraId="1FD3BF2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2023年</w:t>
      </w:r>
      <w:r>
        <w:rPr>
          <w:rFonts w:hint="eastAsia" w:ascii="Times New Roman" w:hAnsi="Times New Roman" w:eastAsia="方正小标宋简体" w:cs="Times New Roman"/>
          <w:b/>
          <w:bCs/>
          <w:sz w:val="44"/>
          <w:szCs w:val="44"/>
          <w:lang w:val="en-US" w:eastAsia="zh-CN"/>
        </w:rPr>
        <w:t>度财务等重大</w:t>
      </w:r>
      <w:r>
        <w:rPr>
          <w:rFonts w:hint="default" w:ascii="Times New Roman" w:hAnsi="Times New Roman" w:eastAsia="方正小标宋简体" w:cs="Times New Roman"/>
          <w:b/>
          <w:bCs/>
          <w:sz w:val="44"/>
          <w:szCs w:val="44"/>
          <w:lang w:eastAsia="zh-CN"/>
        </w:rPr>
        <w:t>信息公开</w:t>
      </w:r>
    </w:p>
    <w:p w14:paraId="09D28E7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cs="Times New Roman"/>
          <w:b/>
          <w:bCs/>
          <w:sz w:val="30"/>
          <w:szCs w:val="30"/>
          <w:lang w:val="en-US" w:eastAsia="zh-CN"/>
        </w:rPr>
      </w:pPr>
    </w:p>
    <w:p w14:paraId="117FAB53">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lang w:val="en-US" w:eastAsia="zh-CN"/>
        </w:rPr>
        <w:t>一、企业基本情况</w:t>
      </w:r>
    </w:p>
    <w:p w14:paraId="75478B05">
      <w:pPr>
        <w:spacing w:line="360" w:lineRule="auto"/>
        <w:ind w:right="-58" w:firstLine="643" w:firstLineChars="200"/>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zh-CN" w:bidi="zh-CN"/>
        </w:rPr>
        <w:t>山东</w:t>
      </w:r>
      <w:r>
        <w:rPr>
          <w:rFonts w:hint="default" w:ascii="Times New Roman" w:hAnsi="Times New Roman" w:eastAsia="方正仿宋简体" w:cs="Times New Roman"/>
          <w:b/>
          <w:bCs/>
          <w:kern w:val="0"/>
          <w:sz w:val="32"/>
          <w:szCs w:val="32"/>
          <w:lang w:val="zh-CN" w:eastAsia="en-US" w:bidi="zh-CN"/>
        </w:rPr>
        <w:t>公用</w:t>
      </w:r>
      <w:r>
        <w:rPr>
          <w:rFonts w:hint="default" w:ascii="Times New Roman" w:hAnsi="Times New Roman" w:eastAsia="方正仿宋简体" w:cs="Times New Roman"/>
          <w:b/>
          <w:bCs/>
          <w:kern w:val="0"/>
          <w:sz w:val="32"/>
          <w:szCs w:val="32"/>
          <w:lang w:val="zh-CN" w:eastAsia="zh-CN" w:bidi="zh-CN"/>
        </w:rPr>
        <w:t>设计集团</w:t>
      </w:r>
      <w:r>
        <w:rPr>
          <w:rFonts w:hint="default" w:ascii="Times New Roman" w:hAnsi="Times New Roman" w:eastAsia="方正仿宋简体" w:cs="Times New Roman"/>
          <w:b/>
          <w:bCs/>
          <w:kern w:val="0"/>
          <w:sz w:val="32"/>
          <w:szCs w:val="32"/>
          <w:lang w:val="zh-CN" w:eastAsia="en-US" w:bidi="zh-CN"/>
        </w:rPr>
        <w:t>有限公司成立于2020年12月</w:t>
      </w:r>
      <w:r>
        <w:rPr>
          <w:rFonts w:hint="default" w:ascii="Times New Roman" w:hAnsi="Times New Roman" w:eastAsia="方正仿宋简体" w:cs="Times New Roman"/>
          <w:b/>
          <w:bCs/>
          <w:kern w:val="0"/>
          <w:sz w:val="32"/>
          <w:szCs w:val="32"/>
          <w:lang w:val="zh-CN" w:eastAsia="zh-CN" w:bidi="zh-CN"/>
        </w:rPr>
        <w:t>，</w:t>
      </w:r>
      <w:r>
        <w:rPr>
          <w:rFonts w:hint="default" w:ascii="Times New Roman" w:hAnsi="Times New Roman" w:eastAsia="方正仿宋简体" w:cs="Times New Roman"/>
          <w:b/>
          <w:bCs/>
          <w:kern w:val="0"/>
          <w:sz w:val="32"/>
          <w:szCs w:val="32"/>
          <w:lang w:val="zh-CN" w:eastAsia="en-US" w:bidi="zh-CN"/>
        </w:rPr>
        <w:t>注册资本</w:t>
      </w:r>
      <w:r>
        <w:rPr>
          <w:rFonts w:hint="default" w:ascii="Times New Roman" w:hAnsi="Times New Roman" w:eastAsia="方正仿宋简体" w:cs="Times New Roman"/>
          <w:b/>
          <w:bCs/>
          <w:kern w:val="0"/>
          <w:sz w:val="32"/>
          <w:szCs w:val="32"/>
          <w:lang w:val="en-US" w:eastAsia="zh-CN" w:bidi="zh-CN"/>
        </w:rPr>
        <w:t>20</w:t>
      </w:r>
      <w:r>
        <w:rPr>
          <w:rFonts w:hint="default" w:ascii="Times New Roman" w:hAnsi="Times New Roman" w:eastAsia="方正仿宋简体" w:cs="Times New Roman"/>
          <w:b/>
          <w:bCs/>
          <w:kern w:val="0"/>
          <w:sz w:val="32"/>
          <w:szCs w:val="32"/>
          <w:lang w:val="zh-CN" w:eastAsia="en-US" w:bidi="zh-CN"/>
        </w:rPr>
        <w:t>00万</w:t>
      </w:r>
      <w:r>
        <w:rPr>
          <w:rFonts w:hint="default" w:ascii="Times New Roman" w:hAnsi="Times New Roman" w:eastAsia="方正仿宋简体" w:cs="Times New Roman"/>
          <w:b/>
          <w:bCs/>
          <w:kern w:val="0"/>
          <w:sz w:val="32"/>
          <w:szCs w:val="32"/>
          <w:lang w:val="en-US" w:eastAsia="en-US" w:bidi="zh-CN"/>
        </w:rPr>
        <w:t>元，</w:t>
      </w:r>
      <w:r>
        <w:rPr>
          <w:rFonts w:hint="default" w:ascii="Times New Roman" w:hAnsi="Times New Roman" w:eastAsia="方正仿宋简体" w:cs="Times New Roman"/>
          <w:b/>
          <w:bCs/>
          <w:kern w:val="0"/>
          <w:sz w:val="32"/>
          <w:szCs w:val="32"/>
          <w:lang w:val="zh-CN" w:eastAsia="en-US" w:bidi="zh-CN"/>
        </w:rPr>
        <w:t>企业管理济宁市建筑工程施工图审查中心有限公司</w:t>
      </w:r>
      <w:r>
        <w:rPr>
          <w:rFonts w:hint="default" w:ascii="Times New Roman" w:hAnsi="Times New Roman" w:eastAsia="方正仿宋简体" w:cs="Times New Roman"/>
          <w:b/>
          <w:bCs/>
          <w:kern w:val="0"/>
          <w:sz w:val="32"/>
          <w:szCs w:val="32"/>
          <w:lang w:val="zh-CN" w:eastAsia="zh-CN" w:bidi="zh-CN"/>
        </w:rPr>
        <w:t>、</w:t>
      </w:r>
      <w:r>
        <w:rPr>
          <w:rFonts w:hint="default" w:ascii="Times New Roman" w:hAnsi="Times New Roman" w:eastAsia="方正仿宋简体" w:cs="Times New Roman"/>
          <w:b/>
          <w:bCs/>
          <w:kern w:val="0"/>
          <w:sz w:val="32"/>
          <w:szCs w:val="32"/>
          <w:lang w:val="zh-CN" w:eastAsia="en-US" w:bidi="zh-CN"/>
        </w:rPr>
        <w:t>济宁正源给排水勘察设计有限责任公司、山东公用工程咨询有限公司三家公司。</w:t>
      </w:r>
      <w:r>
        <w:rPr>
          <w:rFonts w:hint="default" w:ascii="Times New Roman" w:hAnsi="Times New Roman" w:eastAsia="方正仿宋简体" w:cs="Times New Roman"/>
          <w:b/>
          <w:bCs/>
          <w:kern w:val="0"/>
          <w:sz w:val="32"/>
          <w:szCs w:val="32"/>
          <w:lang w:val="zh-CN" w:eastAsia="zh-CN" w:bidi="zh-CN"/>
        </w:rPr>
        <w:t>拥有</w:t>
      </w:r>
      <w:r>
        <w:rPr>
          <w:rFonts w:hint="default" w:ascii="Times New Roman" w:hAnsi="Times New Roman" w:eastAsia="方正仿宋简体" w:cs="Times New Roman"/>
          <w:b/>
          <w:bCs/>
          <w:kern w:val="0"/>
          <w:sz w:val="32"/>
          <w:szCs w:val="32"/>
          <w:lang w:val="zh-CN" w:eastAsia="en-US" w:bidi="zh-CN"/>
        </w:rPr>
        <w:t>市政行业(热力工程</w:t>
      </w:r>
      <w:r>
        <w:rPr>
          <w:rFonts w:hint="default" w:ascii="Times New Roman" w:hAnsi="Times New Roman" w:eastAsia="方正仿宋简体" w:cs="Times New Roman"/>
          <w:b/>
          <w:bCs/>
          <w:kern w:val="0"/>
          <w:sz w:val="32"/>
          <w:szCs w:val="32"/>
          <w:lang w:val="zh-CN" w:eastAsia="zh-CN" w:bidi="zh-CN"/>
        </w:rPr>
        <w:t>、给水工程、排水工程、道路工程</w:t>
      </w:r>
      <w:r>
        <w:rPr>
          <w:rFonts w:hint="default" w:ascii="Times New Roman" w:hAnsi="Times New Roman" w:eastAsia="方正仿宋简体" w:cs="Times New Roman"/>
          <w:b/>
          <w:bCs/>
          <w:kern w:val="0"/>
          <w:sz w:val="32"/>
          <w:szCs w:val="32"/>
          <w:lang w:val="zh-CN" w:eastAsia="en-US" w:bidi="zh-CN"/>
        </w:rPr>
        <w:t>)专业乙级</w:t>
      </w:r>
      <w:r>
        <w:rPr>
          <w:rFonts w:hint="default" w:ascii="Times New Roman" w:hAnsi="Times New Roman" w:eastAsia="方正仿宋简体" w:cs="Times New Roman"/>
          <w:b/>
          <w:bCs/>
          <w:kern w:val="0"/>
          <w:sz w:val="32"/>
          <w:szCs w:val="32"/>
          <w:lang w:val="zh-CN" w:eastAsia="zh-CN" w:bidi="zh-CN"/>
        </w:rPr>
        <w:t>；建筑行业（建筑工程）乙级</w:t>
      </w:r>
      <w:r>
        <w:rPr>
          <w:rFonts w:hint="default" w:ascii="Times New Roman" w:hAnsi="Times New Roman" w:eastAsia="方正仿宋简体" w:cs="Times New Roman"/>
          <w:b/>
          <w:bCs/>
          <w:kern w:val="0"/>
          <w:sz w:val="32"/>
          <w:szCs w:val="32"/>
          <w:lang w:val="zh-CN" w:eastAsia="en-US" w:bidi="zh-CN"/>
        </w:rPr>
        <w:t>设计资质，压力管道(GB2、GC2)设计许可，技术咨询服务。成立至今，公司积极与热电集团、水务集团（农污项目）、建工集团等各二级集团做好沟通，逐步由单一型专业设计向多元化专业设计转变，实现4个专业首次设计：给水、农村污水、电气专业（水厂、污水处理站、海洋馆、消防及建筑电气）、钢结构厂房及海洋馆土建结构，重点难点项目主动担任项目负责人深入现场，提出切实可行的技术方案。同时积极开发外部市场。共完成热力设计一二次网224.79Km，换热站56座；微山县城乡供水水质提升项目给水设计总长度213.53km，水厂改造6个及其配套电气、钢结构设备间；鱼台农村生活污水治理项目37个行政村61个自然村；兖州颜店时代办公楼改造工程及微山县医养结合体室外配套项目配套电气；利客购物广场杨柳店海洋馆改造工程配套电气及土建。</w:t>
      </w:r>
    </w:p>
    <w:p w14:paraId="31EFB5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lang w:val="en-US" w:eastAsia="zh-CN"/>
        </w:rPr>
        <w:t>二、2023年度主要财务数据</w:t>
      </w:r>
    </w:p>
    <w:p w14:paraId="701D1C5F">
      <w:pPr>
        <w:keepNext w:val="0"/>
        <w:keepLines w:val="0"/>
        <w:pageBreakBefore w:val="0"/>
        <w:widowControl w:val="0"/>
        <w:kinsoku/>
        <w:wordWrap/>
        <w:overflowPunct/>
        <w:topLinePunct w:val="0"/>
        <w:autoSpaceDE w:val="0"/>
        <w:autoSpaceDN w:val="0"/>
        <w:bidi w:val="0"/>
        <w:adjustRightInd/>
        <w:snapToGrid/>
        <w:spacing w:before="31" w:line="600" w:lineRule="exact"/>
        <w:ind w:right="695" w:firstLine="643" w:firstLineChars="200"/>
        <w:jc w:val="right"/>
        <w:textAlignment w:val="auto"/>
        <w:rPr>
          <w:rFonts w:hint="default" w:ascii="Times New Roman" w:hAnsi="Times New Roman" w:eastAsia="方正仿宋简体" w:cs="Times New Roman"/>
          <w:b/>
          <w:bCs/>
          <w:kern w:val="0"/>
          <w:sz w:val="32"/>
          <w:szCs w:val="32"/>
          <w:lang w:val="zh-CN" w:bidi="zh-CN"/>
        </w:rPr>
      </w:pPr>
      <w:r>
        <w:rPr>
          <w:rFonts w:hint="default" w:ascii="Times New Roman" w:hAnsi="Times New Roman" w:eastAsia="方正仿宋简体" w:cs="Times New Roman"/>
          <w:b/>
          <w:bCs/>
          <w:kern w:val="0"/>
          <w:sz w:val="32"/>
          <w:szCs w:val="32"/>
          <w:lang w:val="zh-CN" w:bidi="zh-CN"/>
        </w:rPr>
        <w:t>单位：人民币万元</w:t>
      </w:r>
    </w:p>
    <w:tbl>
      <w:tblPr>
        <w:tblStyle w:val="2"/>
        <w:tblW w:w="477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4278"/>
        <w:gridCol w:w="4175"/>
      </w:tblGrid>
      <w:tr w14:paraId="196C9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3" w:hRule="atLeast"/>
          <w:jc w:val="center"/>
        </w:trPr>
        <w:tc>
          <w:tcPr>
            <w:tcW w:w="2530" w:type="pct"/>
            <w:shd w:val="clear" w:color="auto" w:fill="auto"/>
            <w:noWrap w:val="0"/>
            <w:vAlign w:val="center"/>
          </w:tcPr>
          <w:p w14:paraId="685B4CEA">
            <w:pPr>
              <w:keepNext w:val="0"/>
              <w:keepLines w:val="0"/>
              <w:pageBreakBefore w:val="0"/>
              <w:widowControl w:val="0"/>
              <w:tabs>
                <w:tab w:val="left" w:pos="370"/>
              </w:tabs>
              <w:kinsoku/>
              <w:wordWrap/>
              <w:overflowPunct/>
              <w:topLinePunct w:val="0"/>
              <w:autoSpaceDE w:val="0"/>
              <w:autoSpaceDN w:val="0"/>
              <w:bidi w:val="0"/>
              <w:adjustRightInd/>
              <w:snapToGrid/>
              <w:spacing w:before="77" w:line="600" w:lineRule="exact"/>
              <w:jc w:val="center"/>
              <w:textAlignment w:val="auto"/>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en-US" w:bidi="zh-CN"/>
              </w:rPr>
              <w:t>项</w:t>
            </w:r>
            <w:r>
              <w:rPr>
                <w:rFonts w:hint="default" w:ascii="Times New Roman" w:hAnsi="Times New Roman" w:eastAsia="方正仿宋简体" w:cs="Times New Roman"/>
                <w:b/>
                <w:bCs/>
                <w:kern w:val="0"/>
                <w:sz w:val="32"/>
                <w:szCs w:val="32"/>
                <w:lang w:val="zh-CN" w:eastAsia="en-US" w:bidi="zh-CN"/>
              </w:rPr>
              <w:tab/>
            </w:r>
            <w:r>
              <w:rPr>
                <w:rFonts w:hint="default" w:ascii="Times New Roman" w:hAnsi="Times New Roman" w:eastAsia="方正仿宋简体" w:cs="Times New Roman"/>
                <w:b/>
                <w:bCs/>
                <w:kern w:val="0"/>
                <w:sz w:val="32"/>
                <w:szCs w:val="32"/>
                <w:lang w:val="zh-CN" w:eastAsia="en-US" w:bidi="zh-CN"/>
              </w:rPr>
              <w:t xml:space="preserve">  目</w:t>
            </w:r>
          </w:p>
        </w:tc>
        <w:tc>
          <w:tcPr>
            <w:tcW w:w="2469" w:type="pct"/>
            <w:shd w:val="clear" w:color="auto" w:fill="auto"/>
            <w:noWrap w:val="0"/>
            <w:vAlign w:val="center"/>
          </w:tcPr>
          <w:p w14:paraId="2605ABF4">
            <w:pPr>
              <w:keepNext w:val="0"/>
              <w:keepLines w:val="0"/>
              <w:pageBreakBefore w:val="0"/>
              <w:widowControl w:val="0"/>
              <w:kinsoku/>
              <w:wordWrap/>
              <w:overflowPunct/>
              <w:topLinePunct w:val="0"/>
              <w:autoSpaceDE w:val="0"/>
              <w:autoSpaceDN w:val="0"/>
              <w:bidi w:val="0"/>
              <w:adjustRightInd/>
              <w:snapToGrid/>
              <w:spacing w:before="77" w:line="600" w:lineRule="exact"/>
              <w:ind w:firstLine="643" w:firstLineChars="200"/>
              <w:jc w:val="center"/>
              <w:textAlignment w:val="auto"/>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en-US" w:bidi="zh-CN"/>
              </w:rPr>
              <w:t>本期金额</w:t>
            </w:r>
          </w:p>
        </w:tc>
      </w:tr>
      <w:tr w14:paraId="6A0CA8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1" w:hRule="atLeast"/>
          <w:jc w:val="center"/>
        </w:trPr>
        <w:tc>
          <w:tcPr>
            <w:tcW w:w="2530" w:type="pct"/>
            <w:shd w:val="clear" w:color="auto" w:fill="auto"/>
            <w:noWrap w:val="0"/>
            <w:vAlign w:val="center"/>
          </w:tcPr>
          <w:p w14:paraId="5B8A596D">
            <w:pPr>
              <w:keepNext w:val="0"/>
              <w:keepLines w:val="0"/>
              <w:pageBreakBefore w:val="0"/>
              <w:widowControl w:val="0"/>
              <w:kinsoku/>
              <w:wordWrap/>
              <w:overflowPunct/>
              <w:topLinePunct w:val="0"/>
              <w:autoSpaceDE w:val="0"/>
              <w:autoSpaceDN w:val="0"/>
              <w:bidi w:val="0"/>
              <w:adjustRightInd/>
              <w:snapToGrid/>
              <w:spacing w:before="64" w:line="600" w:lineRule="exact"/>
              <w:jc w:val="center"/>
              <w:textAlignment w:val="auto"/>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en-US" w:bidi="zh-CN"/>
              </w:rPr>
              <w:t>营业总收入</w:t>
            </w:r>
          </w:p>
        </w:tc>
        <w:tc>
          <w:tcPr>
            <w:tcW w:w="2469" w:type="pct"/>
            <w:shd w:val="clear" w:color="auto" w:fill="auto"/>
            <w:noWrap w:val="0"/>
            <w:vAlign w:val="center"/>
          </w:tcPr>
          <w:p w14:paraId="1BC9C7F7">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000000"/>
                <w:kern w:val="0"/>
                <w:sz w:val="32"/>
                <w:szCs w:val="32"/>
                <w:lang w:val="en-US" w:eastAsia="en-US" w:bidi="zh-CN"/>
              </w:rPr>
            </w:pPr>
            <w:r>
              <w:rPr>
                <w:rFonts w:hint="default" w:ascii="Times New Roman" w:hAnsi="Times New Roman" w:eastAsia="方正仿宋简体" w:cs="Times New Roman"/>
                <w:b/>
                <w:bCs/>
                <w:color w:val="000000"/>
                <w:kern w:val="0"/>
                <w:sz w:val="32"/>
                <w:szCs w:val="32"/>
                <w:lang w:val="en-US" w:eastAsia="en-US" w:bidi="zh-CN"/>
              </w:rPr>
              <w:t>4014</w:t>
            </w:r>
          </w:p>
        </w:tc>
      </w:tr>
      <w:tr w14:paraId="50DFC5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2" w:hRule="atLeast"/>
          <w:jc w:val="center"/>
        </w:trPr>
        <w:tc>
          <w:tcPr>
            <w:tcW w:w="2530" w:type="pct"/>
            <w:shd w:val="clear" w:color="auto" w:fill="auto"/>
            <w:noWrap w:val="0"/>
            <w:vAlign w:val="center"/>
          </w:tcPr>
          <w:p w14:paraId="16A9808B">
            <w:pPr>
              <w:keepNext w:val="0"/>
              <w:keepLines w:val="0"/>
              <w:pageBreakBefore w:val="0"/>
              <w:widowControl w:val="0"/>
              <w:kinsoku/>
              <w:wordWrap/>
              <w:overflowPunct/>
              <w:topLinePunct w:val="0"/>
              <w:autoSpaceDE w:val="0"/>
              <w:autoSpaceDN w:val="0"/>
              <w:bidi w:val="0"/>
              <w:adjustRightInd/>
              <w:snapToGrid/>
              <w:spacing w:before="65" w:line="600" w:lineRule="exact"/>
              <w:jc w:val="center"/>
              <w:textAlignment w:val="auto"/>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en-US" w:bidi="zh-CN"/>
              </w:rPr>
              <w:t>营业总成本</w:t>
            </w:r>
          </w:p>
        </w:tc>
        <w:tc>
          <w:tcPr>
            <w:tcW w:w="2469" w:type="pct"/>
            <w:shd w:val="clear" w:color="auto" w:fill="auto"/>
            <w:noWrap w:val="0"/>
            <w:vAlign w:val="center"/>
          </w:tcPr>
          <w:p w14:paraId="1CEBAAB9">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000000"/>
                <w:kern w:val="0"/>
                <w:sz w:val="32"/>
                <w:szCs w:val="32"/>
                <w:lang w:val="en-US" w:eastAsia="en-US" w:bidi="zh-CN"/>
              </w:rPr>
            </w:pPr>
            <w:r>
              <w:rPr>
                <w:rFonts w:hint="default" w:ascii="Times New Roman" w:hAnsi="Times New Roman" w:eastAsia="方正仿宋简体" w:cs="Times New Roman"/>
                <w:b/>
                <w:bCs/>
                <w:color w:val="000000"/>
                <w:kern w:val="0"/>
                <w:sz w:val="32"/>
                <w:szCs w:val="32"/>
                <w:lang w:val="en-US" w:eastAsia="en-US" w:bidi="zh-CN"/>
              </w:rPr>
              <w:t>3579</w:t>
            </w:r>
          </w:p>
        </w:tc>
      </w:tr>
      <w:tr w14:paraId="467F3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3" w:hRule="atLeast"/>
          <w:jc w:val="center"/>
        </w:trPr>
        <w:tc>
          <w:tcPr>
            <w:tcW w:w="2530" w:type="pct"/>
            <w:shd w:val="clear" w:color="auto" w:fill="auto"/>
            <w:noWrap w:val="0"/>
            <w:vAlign w:val="center"/>
          </w:tcPr>
          <w:p w14:paraId="0D244264">
            <w:pPr>
              <w:keepNext w:val="0"/>
              <w:keepLines w:val="0"/>
              <w:pageBreakBefore w:val="0"/>
              <w:widowControl w:val="0"/>
              <w:kinsoku/>
              <w:wordWrap/>
              <w:overflowPunct/>
              <w:topLinePunct w:val="0"/>
              <w:autoSpaceDE w:val="0"/>
              <w:autoSpaceDN w:val="0"/>
              <w:bidi w:val="0"/>
              <w:adjustRightInd/>
              <w:snapToGrid/>
              <w:spacing w:before="66" w:line="600" w:lineRule="exact"/>
              <w:jc w:val="center"/>
              <w:textAlignment w:val="auto"/>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en-US" w:bidi="zh-CN"/>
              </w:rPr>
              <w:t>利润总额</w:t>
            </w:r>
          </w:p>
        </w:tc>
        <w:tc>
          <w:tcPr>
            <w:tcW w:w="2469" w:type="pct"/>
            <w:shd w:val="clear" w:color="auto" w:fill="auto"/>
            <w:noWrap w:val="0"/>
            <w:vAlign w:val="center"/>
          </w:tcPr>
          <w:p w14:paraId="3789A167">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000000"/>
                <w:kern w:val="0"/>
                <w:sz w:val="32"/>
                <w:szCs w:val="32"/>
                <w:lang w:val="en-US" w:eastAsia="en-US" w:bidi="zh-CN"/>
              </w:rPr>
            </w:pPr>
            <w:r>
              <w:rPr>
                <w:rFonts w:hint="default" w:ascii="Times New Roman" w:hAnsi="Times New Roman" w:eastAsia="方正仿宋简体" w:cs="Times New Roman"/>
                <w:b/>
                <w:bCs/>
                <w:color w:val="000000"/>
                <w:kern w:val="0"/>
                <w:sz w:val="32"/>
                <w:szCs w:val="32"/>
                <w:lang w:val="en-US" w:eastAsia="en-US" w:bidi="zh-CN"/>
              </w:rPr>
              <w:t>400</w:t>
            </w:r>
          </w:p>
        </w:tc>
      </w:tr>
      <w:tr w14:paraId="60E6C0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8" w:hRule="atLeast"/>
          <w:jc w:val="center"/>
        </w:trPr>
        <w:tc>
          <w:tcPr>
            <w:tcW w:w="2530" w:type="pct"/>
            <w:shd w:val="clear" w:color="auto" w:fill="auto"/>
            <w:noWrap w:val="0"/>
            <w:vAlign w:val="center"/>
          </w:tcPr>
          <w:p w14:paraId="5590FB9E">
            <w:pPr>
              <w:keepNext w:val="0"/>
              <w:keepLines w:val="0"/>
              <w:pageBreakBefore w:val="0"/>
              <w:widowControl w:val="0"/>
              <w:tabs>
                <w:tab w:val="left" w:pos="1327"/>
              </w:tabs>
              <w:kinsoku/>
              <w:wordWrap/>
              <w:overflowPunct/>
              <w:topLinePunct w:val="0"/>
              <w:autoSpaceDE w:val="0"/>
              <w:autoSpaceDN w:val="0"/>
              <w:bidi w:val="0"/>
              <w:adjustRightInd/>
              <w:snapToGrid/>
              <w:spacing w:before="94" w:line="600" w:lineRule="exact"/>
              <w:jc w:val="center"/>
              <w:textAlignment w:val="auto"/>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en-US" w:bidi="zh-CN"/>
              </w:rPr>
              <w:t>项</w:t>
            </w:r>
            <w:r>
              <w:rPr>
                <w:rFonts w:hint="default" w:ascii="Times New Roman" w:hAnsi="Times New Roman" w:eastAsia="方正仿宋简体" w:cs="Times New Roman"/>
                <w:b/>
                <w:bCs/>
                <w:kern w:val="0"/>
                <w:sz w:val="32"/>
                <w:szCs w:val="32"/>
                <w:lang w:val="zh-CN" w:bidi="zh-CN"/>
              </w:rPr>
              <w:t xml:space="preserve">  </w:t>
            </w:r>
            <w:r>
              <w:rPr>
                <w:rFonts w:hint="default" w:ascii="Times New Roman" w:hAnsi="Times New Roman" w:eastAsia="方正仿宋简体" w:cs="Times New Roman"/>
                <w:b/>
                <w:bCs/>
                <w:kern w:val="0"/>
                <w:sz w:val="32"/>
                <w:szCs w:val="32"/>
                <w:lang w:val="zh-CN" w:eastAsia="en-US" w:bidi="zh-CN"/>
              </w:rPr>
              <w:t>目</w:t>
            </w:r>
          </w:p>
        </w:tc>
        <w:tc>
          <w:tcPr>
            <w:tcW w:w="2469" w:type="pct"/>
            <w:shd w:val="clear" w:color="auto" w:fill="auto"/>
            <w:noWrap w:val="0"/>
            <w:vAlign w:val="center"/>
          </w:tcPr>
          <w:p w14:paraId="6F9EFFB1">
            <w:pPr>
              <w:keepNext w:val="0"/>
              <w:keepLines w:val="0"/>
              <w:pageBreakBefore w:val="0"/>
              <w:widowControl w:val="0"/>
              <w:kinsoku/>
              <w:wordWrap/>
              <w:overflowPunct/>
              <w:topLinePunct w:val="0"/>
              <w:autoSpaceDE w:val="0"/>
              <w:autoSpaceDN w:val="0"/>
              <w:bidi w:val="0"/>
              <w:adjustRightInd/>
              <w:snapToGrid/>
              <w:spacing w:before="94" w:line="600" w:lineRule="exact"/>
              <w:jc w:val="center"/>
              <w:textAlignment w:val="auto"/>
              <w:rPr>
                <w:rFonts w:hint="default" w:ascii="Times New Roman" w:hAnsi="Times New Roman" w:eastAsia="方正仿宋简体" w:cs="Times New Roman"/>
                <w:b/>
                <w:bCs/>
                <w:kern w:val="0"/>
                <w:sz w:val="32"/>
                <w:szCs w:val="32"/>
                <w:lang w:val="zh-CN" w:eastAsia="en-US" w:bidi="zh-CN"/>
              </w:rPr>
            </w:pPr>
            <w:r>
              <w:rPr>
                <w:rFonts w:hint="default" w:ascii="Times New Roman" w:hAnsi="Times New Roman" w:eastAsia="方正仿宋简体" w:cs="Times New Roman"/>
                <w:b/>
                <w:bCs/>
                <w:kern w:val="0"/>
                <w:sz w:val="32"/>
                <w:szCs w:val="32"/>
                <w:lang w:val="zh-CN" w:eastAsia="en-US" w:bidi="zh-CN"/>
              </w:rPr>
              <w:t>本期金额</w:t>
            </w:r>
          </w:p>
        </w:tc>
      </w:tr>
      <w:tr w14:paraId="7E494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1" w:hRule="atLeast"/>
          <w:jc w:val="center"/>
        </w:trPr>
        <w:tc>
          <w:tcPr>
            <w:tcW w:w="2530" w:type="pct"/>
            <w:shd w:val="clear" w:color="auto" w:fill="auto"/>
            <w:noWrap w:val="0"/>
            <w:vAlign w:val="center"/>
          </w:tcPr>
          <w:p w14:paraId="6C1F90A7">
            <w:pPr>
              <w:keepNext w:val="0"/>
              <w:keepLines w:val="0"/>
              <w:pageBreakBefore w:val="0"/>
              <w:widowControl w:val="0"/>
              <w:kinsoku/>
              <w:wordWrap/>
              <w:overflowPunct/>
              <w:topLinePunct w:val="0"/>
              <w:autoSpaceDE w:val="0"/>
              <w:autoSpaceDN w:val="0"/>
              <w:bidi w:val="0"/>
              <w:adjustRightInd/>
              <w:snapToGrid/>
              <w:spacing w:before="64" w:line="600" w:lineRule="exact"/>
              <w:jc w:val="center"/>
              <w:textAlignment w:val="auto"/>
              <w:rPr>
                <w:rFonts w:hint="default" w:ascii="Times New Roman" w:hAnsi="Times New Roman" w:eastAsia="方正仿宋简体" w:cs="Times New Roman"/>
                <w:b/>
                <w:bCs/>
                <w:color w:val="auto"/>
                <w:kern w:val="0"/>
                <w:sz w:val="32"/>
                <w:szCs w:val="32"/>
                <w:lang w:val="zh-CN" w:eastAsia="en-US" w:bidi="zh-CN"/>
              </w:rPr>
            </w:pPr>
            <w:r>
              <w:rPr>
                <w:rFonts w:hint="default" w:ascii="Times New Roman" w:hAnsi="Times New Roman" w:eastAsia="方正仿宋简体" w:cs="Times New Roman"/>
                <w:b/>
                <w:bCs/>
                <w:color w:val="auto"/>
                <w:kern w:val="0"/>
                <w:sz w:val="32"/>
                <w:szCs w:val="32"/>
                <w:lang w:val="zh-CN" w:eastAsia="en-US" w:bidi="zh-CN"/>
              </w:rPr>
              <w:t>资产总额</w:t>
            </w:r>
          </w:p>
        </w:tc>
        <w:tc>
          <w:tcPr>
            <w:tcW w:w="2469" w:type="pct"/>
            <w:shd w:val="clear" w:color="auto" w:fill="auto"/>
            <w:noWrap w:val="0"/>
            <w:vAlign w:val="center"/>
          </w:tcPr>
          <w:p w14:paraId="560633AC">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auto"/>
                <w:kern w:val="0"/>
                <w:sz w:val="32"/>
                <w:szCs w:val="32"/>
                <w:lang w:val="en-US" w:eastAsia="en-US" w:bidi="zh-CN"/>
              </w:rPr>
            </w:pPr>
            <w:r>
              <w:rPr>
                <w:rFonts w:hint="default" w:ascii="Times New Roman" w:hAnsi="Times New Roman" w:eastAsia="方正仿宋简体" w:cs="Times New Roman"/>
                <w:b/>
                <w:bCs/>
                <w:color w:val="auto"/>
                <w:kern w:val="0"/>
                <w:sz w:val="32"/>
                <w:szCs w:val="32"/>
                <w:lang w:val="en-US" w:eastAsia="en-US" w:bidi="zh-CN"/>
              </w:rPr>
              <w:t>17795</w:t>
            </w:r>
          </w:p>
        </w:tc>
      </w:tr>
      <w:tr w14:paraId="27AABB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2" w:hRule="atLeast"/>
          <w:jc w:val="center"/>
        </w:trPr>
        <w:tc>
          <w:tcPr>
            <w:tcW w:w="2530" w:type="pct"/>
            <w:shd w:val="clear" w:color="auto" w:fill="auto"/>
            <w:noWrap w:val="0"/>
            <w:vAlign w:val="center"/>
          </w:tcPr>
          <w:p w14:paraId="66342302">
            <w:pPr>
              <w:keepNext w:val="0"/>
              <w:keepLines w:val="0"/>
              <w:pageBreakBefore w:val="0"/>
              <w:widowControl w:val="0"/>
              <w:kinsoku/>
              <w:wordWrap/>
              <w:overflowPunct/>
              <w:topLinePunct w:val="0"/>
              <w:autoSpaceDE w:val="0"/>
              <w:autoSpaceDN w:val="0"/>
              <w:bidi w:val="0"/>
              <w:adjustRightInd/>
              <w:snapToGrid/>
              <w:spacing w:before="65" w:line="600" w:lineRule="exact"/>
              <w:jc w:val="center"/>
              <w:textAlignment w:val="auto"/>
              <w:rPr>
                <w:rFonts w:hint="default" w:ascii="Times New Roman" w:hAnsi="Times New Roman" w:eastAsia="方正仿宋简体" w:cs="Times New Roman"/>
                <w:b/>
                <w:bCs/>
                <w:color w:val="auto"/>
                <w:kern w:val="0"/>
                <w:sz w:val="32"/>
                <w:szCs w:val="32"/>
                <w:lang w:val="zh-CN" w:eastAsia="en-US" w:bidi="zh-CN"/>
              </w:rPr>
            </w:pPr>
            <w:r>
              <w:rPr>
                <w:rFonts w:hint="default" w:ascii="Times New Roman" w:hAnsi="Times New Roman" w:eastAsia="方正仿宋简体" w:cs="Times New Roman"/>
                <w:b/>
                <w:bCs/>
                <w:color w:val="auto"/>
                <w:kern w:val="0"/>
                <w:sz w:val="32"/>
                <w:szCs w:val="32"/>
                <w:lang w:val="zh-CN" w:eastAsia="en-US" w:bidi="zh-CN"/>
              </w:rPr>
              <w:t>负债总额</w:t>
            </w:r>
          </w:p>
        </w:tc>
        <w:tc>
          <w:tcPr>
            <w:tcW w:w="2469" w:type="pct"/>
            <w:shd w:val="clear" w:color="auto" w:fill="auto"/>
            <w:noWrap w:val="0"/>
            <w:vAlign w:val="center"/>
          </w:tcPr>
          <w:p w14:paraId="11089F45">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auto"/>
                <w:kern w:val="0"/>
                <w:sz w:val="32"/>
                <w:szCs w:val="32"/>
                <w:lang w:val="en-US" w:eastAsia="en-US" w:bidi="zh-CN"/>
              </w:rPr>
            </w:pPr>
            <w:r>
              <w:rPr>
                <w:rFonts w:hint="default" w:ascii="Times New Roman" w:hAnsi="Times New Roman" w:eastAsia="方正仿宋简体" w:cs="Times New Roman"/>
                <w:b/>
                <w:bCs/>
                <w:color w:val="auto"/>
                <w:kern w:val="0"/>
                <w:sz w:val="32"/>
                <w:szCs w:val="32"/>
                <w:lang w:val="en-US" w:eastAsia="en-US" w:bidi="zh-CN"/>
              </w:rPr>
              <w:t>1200</w:t>
            </w:r>
          </w:p>
        </w:tc>
      </w:tr>
      <w:tr w14:paraId="59F200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6" w:hRule="atLeast"/>
          <w:jc w:val="center"/>
        </w:trPr>
        <w:tc>
          <w:tcPr>
            <w:tcW w:w="2530" w:type="pct"/>
            <w:shd w:val="clear" w:color="auto" w:fill="auto"/>
            <w:noWrap w:val="0"/>
            <w:vAlign w:val="center"/>
          </w:tcPr>
          <w:p w14:paraId="5F0A7188">
            <w:pPr>
              <w:keepNext w:val="0"/>
              <w:keepLines w:val="0"/>
              <w:pageBreakBefore w:val="0"/>
              <w:widowControl w:val="0"/>
              <w:kinsoku/>
              <w:wordWrap/>
              <w:overflowPunct/>
              <w:topLinePunct w:val="0"/>
              <w:autoSpaceDE w:val="0"/>
              <w:autoSpaceDN w:val="0"/>
              <w:bidi w:val="0"/>
              <w:adjustRightInd/>
              <w:snapToGrid/>
              <w:spacing w:before="66" w:line="600" w:lineRule="exact"/>
              <w:jc w:val="center"/>
              <w:textAlignment w:val="auto"/>
              <w:rPr>
                <w:rFonts w:hint="default" w:ascii="Times New Roman" w:hAnsi="Times New Roman" w:eastAsia="方正仿宋简体" w:cs="Times New Roman"/>
                <w:b/>
                <w:bCs/>
                <w:color w:val="auto"/>
                <w:kern w:val="0"/>
                <w:sz w:val="32"/>
                <w:szCs w:val="32"/>
                <w:lang w:val="zh-CN" w:eastAsia="en-US" w:bidi="zh-CN"/>
              </w:rPr>
            </w:pPr>
            <w:r>
              <w:rPr>
                <w:rFonts w:hint="default" w:ascii="Times New Roman" w:hAnsi="Times New Roman" w:eastAsia="方正仿宋简体" w:cs="Times New Roman"/>
                <w:b/>
                <w:bCs/>
                <w:color w:val="auto"/>
                <w:kern w:val="0"/>
                <w:sz w:val="32"/>
                <w:szCs w:val="32"/>
                <w:lang w:val="zh-CN" w:eastAsia="en-US" w:bidi="zh-CN"/>
              </w:rPr>
              <w:t>所有者权益</w:t>
            </w:r>
          </w:p>
        </w:tc>
        <w:tc>
          <w:tcPr>
            <w:tcW w:w="2469" w:type="pct"/>
            <w:shd w:val="clear" w:color="auto" w:fill="auto"/>
            <w:noWrap w:val="0"/>
            <w:vAlign w:val="center"/>
          </w:tcPr>
          <w:p w14:paraId="1273B895">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仿宋简体" w:cs="Times New Roman"/>
                <w:b/>
                <w:bCs/>
                <w:color w:val="auto"/>
                <w:kern w:val="0"/>
                <w:sz w:val="32"/>
                <w:szCs w:val="32"/>
                <w:lang w:val="en-US" w:eastAsia="en-US" w:bidi="zh-CN"/>
              </w:rPr>
            </w:pPr>
            <w:r>
              <w:rPr>
                <w:rFonts w:hint="default" w:ascii="Times New Roman" w:hAnsi="Times New Roman" w:eastAsia="方正仿宋简体" w:cs="Times New Roman"/>
                <w:b/>
                <w:bCs/>
                <w:color w:val="auto"/>
                <w:kern w:val="0"/>
                <w:sz w:val="32"/>
                <w:szCs w:val="32"/>
                <w:lang w:val="en-US" w:eastAsia="en-US" w:bidi="zh-CN"/>
              </w:rPr>
              <w:t>16595</w:t>
            </w:r>
          </w:p>
        </w:tc>
      </w:tr>
    </w:tbl>
    <w:p w14:paraId="5FCC954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lang w:val="en-US" w:eastAsia="zh-CN"/>
        </w:rPr>
        <w:t>三、2023年度主要财务预算指标</w:t>
      </w:r>
    </w:p>
    <w:p w14:paraId="00C9B98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经山东公用控股有限公司审议核准的2023年度主要财务预算指标如下：营业总收入3490万元，利润总额197万元。</w:t>
      </w:r>
    </w:p>
    <w:p w14:paraId="59DEE4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lang w:val="en-US" w:eastAsia="zh-CN"/>
        </w:rPr>
        <w:t>四、2023年度财务预算执行情况</w:t>
      </w:r>
    </w:p>
    <w:p w14:paraId="53F802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2023年度实现营业收入4014万元，完成预算进度的115%；利润总额400万元，完成预算进度的203%。</w:t>
      </w:r>
    </w:p>
    <w:bookmarkEnd w:id="0"/>
    <w:sectPr>
      <w:pgSz w:w="11906" w:h="16838"/>
      <w:pgMar w:top="2098" w:right="1474" w:bottom="1984" w:left="158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B1256C5"/>
    <w:rsid w:val="00504EB5"/>
    <w:rsid w:val="08CF5EDE"/>
    <w:rsid w:val="0AAF1BE9"/>
    <w:rsid w:val="0B1256C5"/>
    <w:rsid w:val="0B724B85"/>
    <w:rsid w:val="0CD93EAA"/>
    <w:rsid w:val="0DC25D6E"/>
    <w:rsid w:val="0DCC6262"/>
    <w:rsid w:val="18E34A24"/>
    <w:rsid w:val="1C124C94"/>
    <w:rsid w:val="1DBE272D"/>
    <w:rsid w:val="2500114B"/>
    <w:rsid w:val="26B07DEC"/>
    <w:rsid w:val="28FB293A"/>
    <w:rsid w:val="36AF39FD"/>
    <w:rsid w:val="3A826DCE"/>
    <w:rsid w:val="3F3A14A2"/>
    <w:rsid w:val="48DB1627"/>
    <w:rsid w:val="5352473F"/>
    <w:rsid w:val="53FC29CE"/>
    <w:rsid w:val="57F822B6"/>
    <w:rsid w:val="5D395350"/>
    <w:rsid w:val="611A0024"/>
    <w:rsid w:val="6120469D"/>
    <w:rsid w:val="62B85922"/>
    <w:rsid w:val="6CA131AD"/>
    <w:rsid w:val="73317074"/>
    <w:rsid w:val="74BB0EA8"/>
    <w:rsid w:val="76C62A7F"/>
    <w:rsid w:val="7A012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666</Words>
  <Characters>749</Characters>
  <Lines>0</Lines>
  <Paragraphs>0</Paragraphs>
  <TotalTime>1</TotalTime>
  <ScaleCrop>false</ScaleCrop>
  <LinksUpToDate>false</LinksUpToDate>
  <CharactersWithSpaces>754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2022-04-15T03:02:00Z</dcterms:created>
  <dc:creator>WANGYINGXUE๑</dc:creator>
  <cp:lastModifiedBy>Administrator</cp:lastModifiedBy>
  <dcterms:modified xsi:type="dcterms:W3CDTF">2024-06-29T17:30:43Z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1BA56A1946264AB6B28B6DFE5C6513E7_13</vt:lpwstr>
  </property>
</Properties>
</file>