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ED01F2">
      <w:pPr>
        <w:snapToGrid w:val="0"/>
        <w:spacing w:line="600" w:lineRule="exact"/>
        <w:jc w:val="both"/>
        <w:rPr>
          <w:rFonts w:ascii="Times New Roman" w:hAnsi="Times New Roman" w:eastAsia="方正小标宋简体" w:cs="方正小标宋简体"/>
          <w:b/>
          <w:bCs/>
          <w:sz w:val="44"/>
          <w:szCs w:val="44"/>
        </w:rPr>
      </w:pPr>
    </w:p>
    <w:p w14:paraId="33B250AE">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济宁公用惠民瑞马置业有限公司</w:t>
      </w:r>
    </w:p>
    <w:p w14:paraId="19E78AA5">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hint="eastAsia"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202</w:t>
      </w:r>
      <w:r>
        <w:rPr>
          <w:rFonts w:hint="eastAsia" w:ascii="Times New Roman" w:hAnsi="Times New Roman" w:eastAsia="方正小标宋简体" w:cs="方正小标宋简体"/>
          <w:b/>
          <w:bCs/>
          <w:sz w:val="44"/>
          <w:szCs w:val="44"/>
          <w:lang w:val="en-US" w:eastAsia="zh-CN"/>
        </w:rPr>
        <w:t>3</w:t>
      </w:r>
      <w:r>
        <w:rPr>
          <w:rFonts w:hint="eastAsia" w:ascii="Times New Roman" w:hAnsi="Times New Roman" w:eastAsia="方正小标宋简体" w:cs="方正小标宋简体"/>
          <w:b/>
          <w:bCs/>
          <w:sz w:val="44"/>
          <w:szCs w:val="44"/>
        </w:rPr>
        <w:t>年</w:t>
      </w:r>
      <w:r>
        <w:rPr>
          <w:rFonts w:hint="eastAsia" w:ascii="Times New Roman" w:hAnsi="Times New Roman" w:eastAsia="方正小标宋简体" w:cs="方正小标宋简体"/>
          <w:b/>
          <w:bCs/>
          <w:sz w:val="44"/>
          <w:szCs w:val="44"/>
          <w:lang w:val="en-US" w:eastAsia="zh-CN"/>
        </w:rPr>
        <w:t>度</w:t>
      </w:r>
      <w:r>
        <w:rPr>
          <w:rFonts w:hint="eastAsia" w:ascii="Times New Roman" w:hAnsi="Times New Roman" w:eastAsia="方正小标宋简体" w:cs="方正小标宋简体"/>
          <w:b/>
          <w:bCs/>
          <w:sz w:val="44"/>
          <w:szCs w:val="44"/>
        </w:rPr>
        <w:t>财务等重大信息公开</w:t>
      </w:r>
    </w:p>
    <w:p w14:paraId="0ADB4914">
      <w:pPr>
        <w:spacing w:line="600" w:lineRule="exact"/>
        <w:rPr>
          <w:rFonts w:ascii="Times New Roman" w:hAnsi="Times New Roman" w:eastAsia="方正小标宋简体" w:cs="Times New Roman"/>
          <w:b/>
          <w:bCs/>
          <w:sz w:val="32"/>
          <w:szCs w:val="32"/>
        </w:rPr>
      </w:pPr>
    </w:p>
    <w:p w14:paraId="6F7B6C09">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3" w:firstLineChars="200"/>
        <w:textAlignment w:val="auto"/>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 xml:space="preserve">公司基本情况 </w:t>
      </w:r>
    </w:p>
    <w:p w14:paraId="0D9E0486">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（一）企业简介</w:t>
      </w:r>
    </w:p>
    <w:p w14:paraId="20CCB918">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Times New Roman" w:hAnsi="Times New Roman" w:eastAsia="方正仿宋简体" w:cs="方正仿宋简体"/>
          <w:b/>
          <w:bCs/>
          <w:sz w:val="32"/>
          <w:szCs w:val="32"/>
          <w:lang w:eastAsia="zh-CN"/>
        </w:rPr>
      </w:pPr>
      <w:r>
        <w:rPr>
          <w:rFonts w:ascii="Times New Roman" w:hAnsi="Times New Roman" w:eastAsia="方正仿宋简体" w:cs="方正仿宋简体"/>
          <w:b/>
          <w:bCs/>
          <w:sz w:val="32"/>
          <w:szCs w:val="32"/>
        </w:rPr>
        <w:t>济宁公用惠民瑞马置业有限公司</w:t>
      </w:r>
      <w:r>
        <w:rPr>
          <w:rFonts w:hint="eastAsia" w:ascii="Times New Roman" w:hAnsi="Times New Roman" w:eastAsia="方正仿宋简体" w:cs="方正仿宋简体"/>
          <w:b/>
          <w:bCs/>
          <w:sz w:val="32"/>
          <w:szCs w:val="32"/>
          <w:lang w:val="en-US" w:eastAsia="zh-CN"/>
        </w:rPr>
        <w:t>是由济宁公用瑞马置业有限公司</w:t>
      </w:r>
      <w:r>
        <w:rPr>
          <w:rFonts w:ascii="Times New Roman" w:hAnsi="Times New Roman" w:eastAsia="方正仿宋简体" w:cs="方正仿宋简体"/>
          <w:b/>
          <w:bCs/>
          <w:sz w:val="32"/>
          <w:szCs w:val="32"/>
        </w:rPr>
        <w:t>（占股70%）</w:t>
      </w:r>
      <w:r>
        <w:rPr>
          <w:rFonts w:hint="eastAsia" w:ascii="Times New Roman" w:hAnsi="Times New Roman" w:eastAsia="方正仿宋简体" w:cs="方正仿宋简体"/>
          <w:b/>
          <w:bCs/>
          <w:sz w:val="32"/>
          <w:szCs w:val="32"/>
          <w:lang w:val="en-US" w:eastAsia="zh-CN"/>
        </w:rPr>
        <w:t>与济宁市兖州区惠民城建投资有限公司</w:t>
      </w:r>
      <w:r>
        <w:rPr>
          <w:rFonts w:ascii="Times New Roman" w:hAnsi="Times New Roman" w:eastAsia="方正仿宋简体" w:cs="方正仿宋简体"/>
          <w:b/>
          <w:bCs/>
          <w:sz w:val="32"/>
          <w:szCs w:val="32"/>
        </w:rPr>
        <w:t>（占股</w:t>
      </w:r>
      <w:r>
        <w:rPr>
          <w:rFonts w:hint="eastAsia" w:ascii="Times New Roman" w:hAnsi="Times New Roman" w:eastAsia="方正仿宋简体" w:cs="方正仿宋简体"/>
          <w:b/>
          <w:bCs/>
          <w:sz w:val="32"/>
          <w:szCs w:val="32"/>
          <w:lang w:val="en-US" w:eastAsia="zh-CN"/>
        </w:rPr>
        <w:t>3</w:t>
      </w:r>
      <w:r>
        <w:rPr>
          <w:rFonts w:ascii="Times New Roman" w:hAnsi="Times New Roman" w:eastAsia="方正仿宋简体" w:cs="方正仿宋简体"/>
          <w:b/>
          <w:bCs/>
          <w:sz w:val="32"/>
          <w:szCs w:val="32"/>
        </w:rPr>
        <w:t>0%）</w:t>
      </w:r>
      <w:r>
        <w:rPr>
          <w:rFonts w:hint="eastAsia" w:ascii="Times New Roman" w:hAnsi="Times New Roman" w:eastAsia="方正仿宋简体" w:cs="方正仿宋简体"/>
          <w:b/>
          <w:bCs/>
          <w:sz w:val="32"/>
          <w:szCs w:val="32"/>
          <w:lang w:val="en-US" w:eastAsia="zh-CN"/>
        </w:rPr>
        <w:t>合资成立的房地产开发企业，</w:t>
      </w:r>
      <w:r>
        <w:rPr>
          <w:rFonts w:ascii="Times New Roman" w:hAnsi="Times New Roman" w:eastAsia="方正仿宋简体" w:cs="方正仿宋简体"/>
          <w:b/>
          <w:bCs/>
          <w:sz w:val="32"/>
          <w:szCs w:val="32"/>
        </w:rPr>
        <w:t>成立于2018年9月，</w:t>
      </w:r>
      <w:r>
        <w:rPr>
          <w:rFonts w:hint="eastAsia" w:ascii="Times New Roman" w:hAnsi="Times New Roman" w:eastAsia="方正仿宋简体" w:cs="方正仿宋简体"/>
          <w:b/>
          <w:bCs/>
          <w:sz w:val="32"/>
          <w:szCs w:val="32"/>
        </w:rPr>
        <w:t>注册资本金2000万元</w:t>
      </w:r>
      <w:r>
        <w:rPr>
          <w:rFonts w:hint="eastAsia" w:ascii="Times New Roman" w:hAnsi="Times New Roman" w:eastAsia="方正仿宋简体" w:cs="方正仿宋简体"/>
          <w:b/>
          <w:bCs/>
          <w:sz w:val="32"/>
          <w:szCs w:val="32"/>
          <w:lang w:eastAsia="zh-CN"/>
        </w:rPr>
        <w:t>。</w:t>
      </w:r>
    </w:p>
    <w:p w14:paraId="1E66E057">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Times New Roman" w:hAnsi="Times New Roman" w:eastAsia="方正仿宋简体" w:cs="方正仿宋简体"/>
          <w:b/>
          <w:bCs/>
          <w:sz w:val="32"/>
          <w:szCs w:val="32"/>
        </w:rPr>
      </w:pPr>
      <w:r>
        <w:rPr>
          <w:rFonts w:ascii="Times New Roman" w:hAnsi="Times New Roman" w:eastAsia="方正仿宋简体" w:cs="方正仿宋简体"/>
          <w:b/>
          <w:bCs/>
          <w:sz w:val="32"/>
          <w:szCs w:val="32"/>
        </w:rPr>
        <w:t>公司自成立以来，按照市场化、专业化、规范化的管理模式，遵循“安全至上、服质量第一”的企业宗旨</w:t>
      </w:r>
      <w:r>
        <w:rPr>
          <w:rFonts w:hint="eastAsia" w:ascii="Times New Roman" w:hAnsi="Times New Roman" w:eastAsia="方正仿宋简体" w:cs="方正仿宋简体"/>
          <w:b/>
          <w:bCs/>
          <w:sz w:val="32"/>
          <w:szCs w:val="32"/>
        </w:rPr>
        <w:t>，</w:t>
      </w:r>
      <w:r>
        <w:rPr>
          <w:rFonts w:ascii="Times New Roman" w:hAnsi="Times New Roman" w:eastAsia="方正仿宋简体" w:cs="方正仿宋简体"/>
          <w:b/>
          <w:bCs/>
          <w:sz w:val="32"/>
          <w:szCs w:val="32"/>
        </w:rPr>
        <w:t>内部设置了综合部、成本部、财务部、设计部、采购部、营销部、项目部</w:t>
      </w:r>
      <w:r>
        <w:rPr>
          <w:rFonts w:hint="eastAsia" w:ascii="Times New Roman" w:hAnsi="Times New Roman" w:eastAsia="方正仿宋简体" w:cs="方正仿宋简体"/>
          <w:b/>
          <w:bCs/>
          <w:sz w:val="32"/>
          <w:szCs w:val="32"/>
        </w:rPr>
        <w:t>等</w:t>
      </w:r>
      <w:r>
        <w:rPr>
          <w:rFonts w:ascii="Times New Roman" w:hAnsi="Times New Roman" w:eastAsia="方正仿宋简体" w:cs="方正仿宋简体"/>
          <w:b/>
          <w:bCs/>
          <w:sz w:val="32"/>
          <w:szCs w:val="32"/>
        </w:rPr>
        <w:t>部门</w:t>
      </w:r>
      <w:r>
        <w:rPr>
          <w:rFonts w:hint="eastAsia" w:ascii="Times New Roman" w:hAnsi="Times New Roman" w:eastAsia="方正仿宋简体" w:cs="方正仿宋简体"/>
          <w:b/>
          <w:bCs/>
          <w:sz w:val="32"/>
          <w:szCs w:val="32"/>
          <w:lang w:eastAsia="zh-CN"/>
        </w:rPr>
        <w:t>。</w:t>
      </w:r>
      <w:r>
        <w:rPr>
          <w:rFonts w:hint="eastAsia" w:ascii="Times New Roman" w:hAnsi="Times New Roman" w:eastAsia="方正仿宋简体" w:cs="方正仿宋简体"/>
          <w:b/>
          <w:bCs/>
          <w:sz w:val="32"/>
          <w:szCs w:val="32"/>
        </w:rPr>
        <w:t>由我公司开发建设的惠民瑞马世家建筑风格为新古典法式风情高品质住区。项目总建筑面积约45万㎡，规划住宅2200余套，绿地率35%，容积率2.0，其中地上建筑面积约31万平方，地下建筑面积约13.9万平方。高层、洋房错落有致，将法式宫廷的尊贵气度完美呈现，打造兖州北城区最美的天际线。</w:t>
      </w:r>
    </w:p>
    <w:p w14:paraId="5B13E4CF">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（二）企业基本信息</w:t>
      </w:r>
    </w:p>
    <w:p w14:paraId="4E6147A0">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企业名称：济宁公用惠民瑞马置业有限公司</w:t>
      </w:r>
    </w:p>
    <w:p w14:paraId="561EF6D3">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注册地址：济宁市兖州区鼓楼街道办事处中御桥北路东侧、文化东路北侧</w:t>
      </w:r>
    </w:p>
    <w:p w14:paraId="136B443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登记机关：济宁市兖州区行政审批服务局</w:t>
      </w:r>
    </w:p>
    <w:p w14:paraId="1E734CAC">
      <w:pPr>
        <w:keepNext w:val="0"/>
        <w:keepLines w:val="0"/>
        <w:pageBreakBefore w:val="0"/>
        <w:widowControl w:val="0"/>
        <w:kinsoku/>
        <w:wordWrap/>
        <w:overflowPunct/>
        <w:topLinePunct w:val="0"/>
        <w:autoSpaceDE/>
        <w:autoSpaceDN/>
        <w:bidi w:val="0"/>
        <w:adjustRightInd/>
        <w:snapToGrid/>
        <w:spacing w:line="560" w:lineRule="exact"/>
        <w:ind w:left="2244" w:leftChars="304" w:hanging="1606" w:hangingChars="5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经营范围：房地产开发、销售、房屋租赁。（依法须经批准的项目，经相关部门批准后方可开展经营活动）</w:t>
      </w:r>
    </w:p>
    <w:p w14:paraId="000BD7C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企业类型：其他有限责任公司</w:t>
      </w:r>
    </w:p>
    <w:p w14:paraId="247A284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成立日期：2018年9月13日</w:t>
      </w:r>
    </w:p>
    <w:p w14:paraId="161789C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（三）机构设置</w:t>
      </w:r>
    </w:p>
    <w:p w14:paraId="1FDF6F1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公司设执行董事1名，经理1名，副经理1名；设6个部室、1个项目部，分别为：财务部、成本部、营销部、成本部、采购部、综合部、世家项目部。</w:t>
      </w:r>
    </w:p>
    <w:p w14:paraId="77B9FE39">
      <w:pPr>
        <w:numPr>
          <w:ilvl w:val="0"/>
          <w:numId w:val="1"/>
        </w:numPr>
        <w:snapToGrid w:val="0"/>
        <w:spacing w:line="600" w:lineRule="exact"/>
        <w:ind w:firstLine="643" w:firstLineChars="200"/>
        <w:rPr>
          <w:rFonts w:ascii="Times New Roman" w:hAnsi="Times New Roman" w:eastAsia="方正黑体简体" w:cs="Times New Roman"/>
          <w:b/>
          <w:sz w:val="32"/>
          <w:szCs w:val="32"/>
        </w:rPr>
      </w:pPr>
      <w:r>
        <w:rPr>
          <w:rFonts w:ascii="Times New Roman" w:hAnsi="Times New Roman" w:eastAsia="方正黑体简体" w:cs="Times New Roman"/>
          <w:b/>
          <w:bCs/>
          <w:sz w:val="32"/>
          <w:szCs w:val="32"/>
        </w:rPr>
        <w:t>主要会计数据和财务指标</w:t>
      </w:r>
    </w:p>
    <w:tbl>
      <w:tblPr>
        <w:tblStyle w:val="5"/>
        <w:tblW w:w="8505" w:type="dxa"/>
        <w:jc w:val="center"/>
        <w:tblLayout w:type="fixed"/>
        <w:tblCellMar>
          <w:top w:w="0" w:type="dxa"/>
          <w:left w:w="108" w:type="dxa"/>
          <w:bottom w:w="0" w:type="dxa"/>
          <w:right w:w="108" w:type="dxa"/>
        </w:tblCellMar>
      </w:tblPr>
      <w:tblGrid>
        <w:gridCol w:w="1609"/>
        <w:gridCol w:w="1665"/>
        <w:gridCol w:w="1800"/>
        <w:gridCol w:w="1835"/>
        <w:gridCol w:w="1596"/>
      </w:tblGrid>
      <w:tr w14:paraId="762863AF">
        <w:tblPrEx>
          <w:tblCellMar>
            <w:top w:w="0" w:type="dxa"/>
            <w:left w:w="108" w:type="dxa"/>
            <w:bottom w:w="0" w:type="dxa"/>
            <w:right w:w="108" w:type="dxa"/>
          </w:tblCellMar>
        </w:tblPrEx>
        <w:trPr>
          <w:trHeight w:val="615" w:hRule="atLeast"/>
          <w:jc w:val="center"/>
        </w:trPr>
        <w:tc>
          <w:tcPr>
            <w:tcW w:w="8505" w:type="dxa"/>
            <w:gridSpan w:val="5"/>
            <w:tcBorders>
              <w:top w:val="nil"/>
              <w:left w:val="nil"/>
              <w:bottom w:val="nil"/>
              <w:right w:val="nil"/>
            </w:tcBorders>
            <w:shd w:val="clear" w:color="auto" w:fill="auto"/>
            <w:noWrap/>
            <w:vAlign w:val="center"/>
          </w:tcPr>
          <w:p w14:paraId="664D6516">
            <w:pPr>
              <w:widowControl/>
              <w:textAlignment w:val="center"/>
              <w:rPr>
                <w:rFonts w:ascii="Times New Roman" w:hAnsi="Times New Roman" w:eastAsia="宋体" w:cs="宋体"/>
                <w:b/>
                <w:bCs/>
                <w:color w:val="000000"/>
                <w:sz w:val="22"/>
                <w:szCs w:val="22"/>
              </w:rPr>
            </w:pPr>
            <w:r>
              <w:rPr>
                <w:rFonts w:hint="eastAsia" w:ascii="Times New Roman" w:hAnsi="Times New Roman" w:eastAsia="宋体" w:cs="宋体"/>
                <w:b/>
                <w:bCs/>
                <w:color w:val="000000"/>
                <w:kern w:val="0"/>
                <w:sz w:val="22"/>
                <w:szCs w:val="22"/>
              </w:rPr>
              <w:t xml:space="preserve">                           </w:t>
            </w:r>
            <w:r>
              <w:rPr>
                <w:rFonts w:hint="eastAsia" w:ascii="Times New Roman" w:hAnsi="Times New Roman" w:eastAsia="宋体" w:cs="宋体"/>
                <w:b/>
                <w:bCs/>
                <w:color w:val="000000"/>
                <w:kern w:val="0"/>
                <w:sz w:val="22"/>
                <w:szCs w:val="22"/>
                <w:lang w:val="en-US" w:eastAsia="zh-CN"/>
              </w:rPr>
              <w:t xml:space="preserve">                                       </w:t>
            </w:r>
            <w:r>
              <w:rPr>
                <w:rFonts w:hint="eastAsia" w:ascii="Times New Roman" w:hAnsi="Times New Roman" w:eastAsia="宋体" w:cs="宋体"/>
                <w:b/>
                <w:bCs/>
                <w:color w:val="000000"/>
                <w:kern w:val="0"/>
                <w:sz w:val="22"/>
                <w:szCs w:val="22"/>
              </w:rPr>
              <w:t>单位：万元</w:t>
            </w:r>
          </w:p>
        </w:tc>
      </w:tr>
      <w:tr w14:paraId="0ABD6573">
        <w:tblPrEx>
          <w:tblCellMar>
            <w:top w:w="0" w:type="dxa"/>
            <w:left w:w="108" w:type="dxa"/>
            <w:bottom w:w="0" w:type="dxa"/>
            <w:right w:w="108" w:type="dxa"/>
          </w:tblCellMar>
        </w:tblPrEx>
        <w:trPr>
          <w:trHeight w:val="600" w:hRule="atLeast"/>
          <w:jc w:val="center"/>
        </w:trPr>
        <w:tc>
          <w:tcPr>
            <w:tcW w:w="1609"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1BD18EDD">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项目</w:t>
            </w:r>
          </w:p>
        </w:tc>
        <w:tc>
          <w:tcPr>
            <w:tcW w:w="166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8EB5937">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Style w:val="11"/>
                <w:b/>
                <w:bCs/>
                <w:lang w:val="en-US" w:eastAsia="zh-CN" w:bidi="ar"/>
              </w:rPr>
              <w:t>本期金额</w:t>
            </w:r>
          </w:p>
        </w:tc>
        <w:tc>
          <w:tcPr>
            <w:tcW w:w="180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67D57153">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Style w:val="11"/>
                <w:b/>
                <w:bCs/>
                <w:lang w:val="en-US" w:eastAsia="zh-CN" w:bidi="ar"/>
              </w:rPr>
              <w:t>年度预算目标</w:t>
            </w:r>
          </w:p>
        </w:tc>
        <w:tc>
          <w:tcPr>
            <w:tcW w:w="183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C85C35E">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Style w:val="11"/>
                <w:b/>
                <w:bCs/>
                <w:lang w:val="en-US" w:eastAsia="zh-CN" w:bidi="ar"/>
              </w:rPr>
              <w:t>预算完成情况</w:t>
            </w:r>
          </w:p>
        </w:tc>
        <w:tc>
          <w:tcPr>
            <w:tcW w:w="1596"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68289D86">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Style w:val="11"/>
                <w:b/>
                <w:bCs/>
                <w:lang w:val="en-US" w:eastAsia="zh-CN" w:bidi="ar"/>
              </w:rPr>
              <w:t>上年同期</w:t>
            </w:r>
          </w:p>
        </w:tc>
      </w:tr>
      <w:tr w14:paraId="5D090908">
        <w:tblPrEx>
          <w:tblCellMar>
            <w:top w:w="0" w:type="dxa"/>
            <w:left w:w="108" w:type="dxa"/>
            <w:bottom w:w="0" w:type="dxa"/>
            <w:right w:w="108" w:type="dxa"/>
          </w:tblCellMar>
        </w:tblPrEx>
        <w:trPr>
          <w:trHeight w:val="600" w:hRule="atLeast"/>
          <w:jc w:val="center"/>
        </w:trPr>
        <w:tc>
          <w:tcPr>
            <w:tcW w:w="1609"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60758DF">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营业总收入</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A5C61">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63601.00 </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8EA09">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34454.00 </w:t>
            </w: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9F7A6">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184.60%</w:t>
            </w:r>
          </w:p>
        </w:tc>
        <w:tc>
          <w:tcPr>
            <w:tcW w:w="159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063DB41C">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55,257.80 </w:t>
            </w:r>
          </w:p>
        </w:tc>
      </w:tr>
      <w:tr w14:paraId="7BF9EAD2">
        <w:tblPrEx>
          <w:tblCellMar>
            <w:top w:w="0" w:type="dxa"/>
            <w:left w:w="108" w:type="dxa"/>
            <w:bottom w:w="0" w:type="dxa"/>
            <w:right w:w="108" w:type="dxa"/>
          </w:tblCellMar>
        </w:tblPrEx>
        <w:trPr>
          <w:trHeight w:val="600" w:hRule="atLeast"/>
          <w:jc w:val="center"/>
        </w:trPr>
        <w:tc>
          <w:tcPr>
            <w:tcW w:w="1609"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1E438B">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营业总成本</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28778">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57241.30 </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98CBF">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30412.00 </w:t>
            </w: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24C8F">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188.22%</w:t>
            </w:r>
          </w:p>
        </w:tc>
        <w:tc>
          <w:tcPr>
            <w:tcW w:w="159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29C65C0E">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bookmarkStart w:id="0" w:name="_GoBack"/>
            <w:bookmarkEnd w:id="0"/>
            <w:r>
              <w:rPr>
                <w:rFonts w:hint="default" w:ascii="Times New Roman" w:hAnsi="Times New Roman" w:eastAsia="宋体" w:cs="Times New Roman"/>
                <w:b/>
                <w:bCs/>
                <w:i w:val="0"/>
                <w:iCs w:val="0"/>
                <w:color w:val="000000"/>
                <w:kern w:val="0"/>
                <w:sz w:val="22"/>
                <w:szCs w:val="22"/>
                <w:u w:val="none"/>
                <w:lang w:val="en-US" w:eastAsia="zh-CN" w:bidi="ar"/>
              </w:rPr>
              <w:t xml:space="preserve">51,964.10 </w:t>
            </w:r>
          </w:p>
        </w:tc>
      </w:tr>
      <w:tr w14:paraId="46A05700">
        <w:tblPrEx>
          <w:tblCellMar>
            <w:top w:w="0" w:type="dxa"/>
            <w:left w:w="108" w:type="dxa"/>
            <w:bottom w:w="0" w:type="dxa"/>
            <w:right w:w="108" w:type="dxa"/>
          </w:tblCellMar>
        </w:tblPrEx>
        <w:trPr>
          <w:trHeight w:val="600" w:hRule="atLeast"/>
          <w:jc w:val="center"/>
        </w:trPr>
        <w:tc>
          <w:tcPr>
            <w:tcW w:w="1609"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B80E04A">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利润总额</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A9CF3">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6310.30 </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76AC6">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4042.00 </w:t>
            </w: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31D53">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156.12%</w:t>
            </w:r>
          </w:p>
        </w:tc>
        <w:tc>
          <w:tcPr>
            <w:tcW w:w="159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02F9A312">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3,300.70 </w:t>
            </w:r>
          </w:p>
        </w:tc>
      </w:tr>
      <w:tr w14:paraId="5F2723D4">
        <w:tblPrEx>
          <w:tblCellMar>
            <w:top w:w="0" w:type="dxa"/>
            <w:left w:w="108" w:type="dxa"/>
            <w:bottom w:w="0" w:type="dxa"/>
            <w:right w:w="108" w:type="dxa"/>
          </w:tblCellMar>
        </w:tblPrEx>
        <w:trPr>
          <w:trHeight w:val="600" w:hRule="atLeast"/>
          <w:jc w:val="center"/>
        </w:trPr>
        <w:tc>
          <w:tcPr>
            <w:tcW w:w="1609"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1387F26">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净利润</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C05A8">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4732.80 </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68E6E">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3031.50 </w:t>
            </w: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B9798">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156.12%</w:t>
            </w:r>
          </w:p>
        </w:tc>
        <w:tc>
          <w:tcPr>
            <w:tcW w:w="159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1615BD7B">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2,107.80 </w:t>
            </w:r>
          </w:p>
        </w:tc>
      </w:tr>
      <w:tr w14:paraId="0EB721F8">
        <w:tblPrEx>
          <w:tblCellMar>
            <w:top w:w="0" w:type="dxa"/>
            <w:left w:w="108" w:type="dxa"/>
            <w:bottom w:w="0" w:type="dxa"/>
            <w:right w:w="108" w:type="dxa"/>
          </w:tblCellMar>
        </w:tblPrEx>
        <w:trPr>
          <w:trHeight w:val="600" w:hRule="atLeast"/>
          <w:jc w:val="center"/>
        </w:trPr>
        <w:tc>
          <w:tcPr>
            <w:tcW w:w="1609"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6B94C0B">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资产总额</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F562B">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56461.90 </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F9C06">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75000.00 </w:t>
            </w: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CA517">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75.28%</w:t>
            </w:r>
          </w:p>
        </w:tc>
        <w:tc>
          <w:tcPr>
            <w:tcW w:w="159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44B605EF">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98,607.60 </w:t>
            </w:r>
          </w:p>
        </w:tc>
      </w:tr>
      <w:tr w14:paraId="5E10C956">
        <w:tblPrEx>
          <w:tblCellMar>
            <w:top w:w="0" w:type="dxa"/>
            <w:left w:w="108" w:type="dxa"/>
            <w:bottom w:w="0" w:type="dxa"/>
            <w:right w:w="108" w:type="dxa"/>
          </w:tblCellMar>
        </w:tblPrEx>
        <w:trPr>
          <w:trHeight w:val="600" w:hRule="atLeast"/>
          <w:jc w:val="center"/>
        </w:trPr>
        <w:tc>
          <w:tcPr>
            <w:tcW w:w="1609"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9E5F2B8">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负债总额</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8CA18">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51192.80 </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B07DA">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71432.00 </w:t>
            </w: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68D36">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71.67%</w:t>
            </w:r>
          </w:p>
        </w:tc>
        <w:tc>
          <w:tcPr>
            <w:tcW w:w="159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56804811">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98,071.20 </w:t>
            </w:r>
          </w:p>
        </w:tc>
      </w:tr>
      <w:tr w14:paraId="1AF71BD4">
        <w:tblPrEx>
          <w:tblCellMar>
            <w:top w:w="0" w:type="dxa"/>
            <w:left w:w="108" w:type="dxa"/>
            <w:bottom w:w="0" w:type="dxa"/>
            <w:right w:w="108" w:type="dxa"/>
          </w:tblCellMar>
        </w:tblPrEx>
        <w:trPr>
          <w:trHeight w:val="600" w:hRule="atLeast"/>
          <w:jc w:val="center"/>
        </w:trPr>
        <w:tc>
          <w:tcPr>
            <w:tcW w:w="1609" w:type="dxa"/>
            <w:tcBorders>
              <w:top w:val="single" w:color="000000" w:sz="4" w:space="0"/>
              <w:left w:val="single" w:color="000000" w:sz="8" w:space="0"/>
              <w:bottom w:val="single" w:color="000000" w:sz="8" w:space="0"/>
              <w:right w:val="single" w:color="000000" w:sz="4" w:space="0"/>
            </w:tcBorders>
            <w:shd w:val="clear" w:color="auto" w:fill="auto"/>
            <w:noWrap/>
            <w:vAlign w:val="center"/>
          </w:tcPr>
          <w:p w14:paraId="19E0FFF0">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所有者权益</w:t>
            </w:r>
          </w:p>
        </w:tc>
        <w:tc>
          <w:tcPr>
            <w:tcW w:w="166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14:paraId="2F7E25C0">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5269.10 </w:t>
            </w:r>
          </w:p>
        </w:tc>
        <w:tc>
          <w:tcPr>
            <w:tcW w:w="180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14:paraId="21261D23">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3568.00 </w:t>
            </w:r>
          </w:p>
        </w:tc>
        <w:tc>
          <w:tcPr>
            <w:tcW w:w="183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14:paraId="669A8BA9">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147.68%</w:t>
            </w:r>
          </w:p>
        </w:tc>
        <w:tc>
          <w:tcPr>
            <w:tcW w:w="1596" w:type="dxa"/>
            <w:tcBorders>
              <w:top w:val="single" w:color="000000" w:sz="4" w:space="0"/>
              <w:left w:val="single" w:color="000000" w:sz="4" w:space="0"/>
              <w:bottom w:val="single" w:color="000000" w:sz="8" w:space="0"/>
              <w:right w:val="single" w:color="000000" w:sz="8" w:space="0"/>
            </w:tcBorders>
            <w:shd w:val="clear" w:color="auto" w:fill="auto"/>
            <w:noWrap/>
            <w:vAlign w:val="center"/>
          </w:tcPr>
          <w:p w14:paraId="65BA401D">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536.40 </w:t>
            </w:r>
          </w:p>
        </w:tc>
      </w:tr>
    </w:tbl>
    <w:p w14:paraId="646E80E9">
      <w:pPr>
        <w:snapToGrid w:val="0"/>
        <w:spacing w:line="600" w:lineRule="exact"/>
        <w:ind w:firstLine="643" w:firstLineChars="200"/>
        <w:rPr>
          <w:rFonts w:ascii="Times New Roman" w:hAnsi="Times New Roman" w:eastAsia="方正小标宋简体" w:cs="Times New Roman"/>
          <w:b/>
          <w:bCs/>
          <w:sz w:val="32"/>
          <w:szCs w:val="32"/>
        </w:rPr>
      </w:pPr>
      <w:r>
        <w:rPr>
          <w:rFonts w:hint="eastAsia" w:ascii="Times New Roman" w:hAnsi="Times New Roman" w:eastAsia="方正黑体简体" w:cs="Times New Roman"/>
          <w:b/>
          <w:bCs/>
          <w:sz w:val="32"/>
          <w:szCs w:val="32"/>
        </w:rPr>
        <w:t>三</w:t>
      </w:r>
      <w:r>
        <w:rPr>
          <w:rFonts w:ascii="Times New Roman" w:hAnsi="Times New Roman" w:eastAsia="方正黑体简体" w:cs="Times New Roman"/>
          <w:b/>
          <w:bCs/>
          <w:sz w:val="32"/>
          <w:szCs w:val="32"/>
        </w:rPr>
        <w:t>、财务预算执行情况</w:t>
      </w:r>
    </w:p>
    <w:p w14:paraId="6F1E47D3">
      <w:pPr>
        <w:pStyle w:val="10"/>
        <w:spacing w:line="600" w:lineRule="exact"/>
        <w:ind w:firstLine="643" w:firstLineChars="200"/>
        <w:jc w:val="both"/>
        <w:rPr>
          <w:rFonts w:ascii="Times New Roman" w:hAnsi="Times New Roman" w:eastAsia="方正黑体简体" w:cs="Times New Roman"/>
          <w:b/>
          <w:bCs/>
          <w:sz w:val="32"/>
          <w:szCs w:val="32"/>
        </w:rPr>
      </w:pPr>
      <w:r>
        <w:rPr>
          <w:rFonts w:hint="eastAsia" w:ascii="Times New Roman" w:hAnsi="Times New Roman" w:eastAsia="方正仿宋简体" w:cs="方正仿宋简体"/>
          <w:b/>
          <w:bCs/>
          <w:color w:val="auto"/>
          <w:kern w:val="2"/>
          <w:sz w:val="32"/>
          <w:szCs w:val="32"/>
          <w:lang w:val="en-US" w:eastAsia="zh-CN"/>
        </w:rPr>
        <w:t>2023年度</w:t>
      </w:r>
      <w:r>
        <w:rPr>
          <w:rFonts w:hint="eastAsia" w:ascii="Times New Roman" w:hAnsi="Times New Roman" w:eastAsia="方正仿宋简体" w:cs="方正仿宋简体"/>
          <w:b/>
          <w:bCs/>
          <w:color w:val="auto"/>
          <w:kern w:val="2"/>
          <w:sz w:val="32"/>
          <w:szCs w:val="32"/>
        </w:rPr>
        <w:t>累计实现营业收入</w:t>
      </w:r>
      <w:r>
        <w:rPr>
          <w:rFonts w:hint="eastAsia" w:ascii="Times New Roman" w:hAnsi="Times New Roman" w:eastAsia="方正仿宋简体" w:cs="方正仿宋简体"/>
          <w:b/>
          <w:bCs/>
          <w:color w:val="auto"/>
          <w:kern w:val="2"/>
          <w:sz w:val="32"/>
          <w:szCs w:val="32"/>
          <w:lang w:val="en-US" w:eastAsia="zh-CN"/>
        </w:rPr>
        <w:t>6.36亿</w:t>
      </w:r>
      <w:r>
        <w:rPr>
          <w:rFonts w:hint="eastAsia" w:ascii="Times New Roman" w:hAnsi="Times New Roman" w:eastAsia="方正仿宋简体" w:cs="方正仿宋简体"/>
          <w:b/>
          <w:bCs/>
          <w:color w:val="auto"/>
          <w:kern w:val="2"/>
          <w:sz w:val="32"/>
          <w:szCs w:val="32"/>
        </w:rPr>
        <w:t>元，完成全年预算</w:t>
      </w:r>
      <w:r>
        <w:rPr>
          <w:rFonts w:hint="eastAsia" w:ascii="Times New Roman" w:hAnsi="Times New Roman" w:eastAsia="方正仿宋简体" w:cs="方正仿宋简体"/>
          <w:b/>
          <w:bCs/>
          <w:color w:val="auto"/>
          <w:kern w:val="2"/>
          <w:sz w:val="32"/>
          <w:szCs w:val="32"/>
          <w:lang w:val="en-US" w:eastAsia="zh-CN"/>
        </w:rPr>
        <w:t>3.45</w:t>
      </w:r>
      <w:r>
        <w:rPr>
          <w:rFonts w:hint="eastAsia" w:ascii="Times New Roman" w:hAnsi="Times New Roman" w:eastAsia="方正仿宋简体" w:cs="方正仿宋简体"/>
          <w:b/>
          <w:bCs/>
          <w:color w:val="auto"/>
          <w:kern w:val="2"/>
          <w:sz w:val="32"/>
          <w:szCs w:val="32"/>
        </w:rPr>
        <w:t>亿元的</w:t>
      </w:r>
      <w:r>
        <w:rPr>
          <w:rFonts w:hint="eastAsia" w:ascii="Times New Roman" w:hAnsi="Times New Roman" w:eastAsia="方正仿宋简体" w:cs="方正仿宋简体"/>
          <w:b/>
          <w:bCs/>
          <w:color w:val="auto"/>
          <w:kern w:val="2"/>
          <w:sz w:val="32"/>
          <w:szCs w:val="32"/>
          <w:lang w:val="en-US" w:eastAsia="zh-CN"/>
        </w:rPr>
        <w:t>184.6</w:t>
      </w:r>
      <w:r>
        <w:rPr>
          <w:rFonts w:hint="eastAsia" w:ascii="Times New Roman" w:hAnsi="Times New Roman" w:eastAsia="方正仿宋简体" w:cs="方正仿宋简体"/>
          <w:b/>
          <w:bCs/>
          <w:color w:val="auto"/>
          <w:kern w:val="2"/>
          <w:sz w:val="32"/>
          <w:szCs w:val="32"/>
        </w:rPr>
        <w:t>%；累计实现利润总额</w:t>
      </w:r>
      <w:r>
        <w:rPr>
          <w:rFonts w:hint="eastAsia" w:ascii="Times New Roman" w:hAnsi="Times New Roman" w:eastAsia="方正仿宋简体" w:cs="方正仿宋简体"/>
          <w:b/>
          <w:bCs/>
          <w:color w:val="auto"/>
          <w:kern w:val="2"/>
          <w:sz w:val="32"/>
          <w:szCs w:val="32"/>
          <w:lang w:val="en-US" w:eastAsia="zh-CN"/>
        </w:rPr>
        <w:t>6310.3</w:t>
      </w:r>
      <w:r>
        <w:rPr>
          <w:rFonts w:hint="eastAsia" w:ascii="Times New Roman" w:hAnsi="Times New Roman" w:eastAsia="方正仿宋简体" w:cs="方正仿宋简体"/>
          <w:b/>
          <w:bCs/>
          <w:color w:val="auto"/>
          <w:kern w:val="2"/>
          <w:sz w:val="32"/>
          <w:szCs w:val="32"/>
        </w:rPr>
        <w:t>万元，完成全年预算</w:t>
      </w:r>
      <w:r>
        <w:rPr>
          <w:rFonts w:hint="eastAsia" w:ascii="Times New Roman" w:hAnsi="Times New Roman" w:eastAsia="方正仿宋简体" w:cs="方正仿宋简体"/>
          <w:b/>
          <w:bCs/>
          <w:color w:val="auto"/>
          <w:kern w:val="2"/>
          <w:sz w:val="32"/>
          <w:szCs w:val="32"/>
          <w:lang w:val="en-US" w:eastAsia="zh-CN"/>
        </w:rPr>
        <w:t>4042</w:t>
      </w:r>
      <w:r>
        <w:rPr>
          <w:rFonts w:hint="eastAsia" w:ascii="Times New Roman" w:hAnsi="Times New Roman" w:eastAsia="方正仿宋简体" w:cs="方正仿宋简体"/>
          <w:b/>
          <w:bCs/>
          <w:color w:val="auto"/>
          <w:kern w:val="2"/>
          <w:sz w:val="32"/>
          <w:szCs w:val="32"/>
        </w:rPr>
        <w:t>万元的</w:t>
      </w:r>
      <w:r>
        <w:rPr>
          <w:rFonts w:hint="eastAsia" w:ascii="Times New Roman" w:hAnsi="Times New Roman" w:eastAsia="方正仿宋简体" w:cs="方正仿宋简体"/>
          <w:b/>
          <w:bCs/>
          <w:color w:val="auto"/>
          <w:kern w:val="2"/>
          <w:sz w:val="32"/>
          <w:szCs w:val="32"/>
          <w:lang w:val="en-US" w:eastAsia="zh-CN"/>
        </w:rPr>
        <w:t>156.12</w:t>
      </w:r>
      <w:r>
        <w:rPr>
          <w:rFonts w:hint="eastAsia" w:ascii="Times New Roman" w:hAnsi="Times New Roman" w:eastAsia="方正仿宋简体" w:cs="方正仿宋简体"/>
          <w:b/>
          <w:bCs/>
          <w:color w:val="auto"/>
          <w:kern w:val="2"/>
          <w:sz w:val="32"/>
          <w:szCs w:val="32"/>
        </w:rPr>
        <w:t>%；</w:t>
      </w:r>
      <w:r>
        <w:rPr>
          <w:rFonts w:hint="eastAsia" w:ascii="Times New Roman" w:hAnsi="Times New Roman" w:eastAsia="方正仿宋简体" w:cs="方正仿宋简体"/>
          <w:b/>
          <w:bCs/>
          <w:color w:val="auto"/>
          <w:kern w:val="2"/>
          <w:sz w:val="32"/>
          <w:szCs w:val="32"/>
          <w:lang w:val="en-US" w:eastAsia="zh-CN"/>
        </w:rPr>
        <w:t>12</w:t>
      </w:r>
      <w:r>
        <w:rPr>
          <w:rFonts w:hint="eastAsia" w:ascii="Times New Roman" w:hAnsi="Times New Roman" w:eastAsia="方正仿宋简体" w:cs="方正仿宋简体"/>
          <w:b/>
          <w:bCs/>
          <w:color w:val="auto"/>
          <w:kern w:val="2"/>
          <w:sz w:val="32"/>
          <w:szCs w:val="32"/>
        </w:rPr>
        <w:t>月底资产负债率</w:t>
      </w:r>
      <w:r>
        <w:rPr>
          <w:rFonts w:hint="eastAsia" w:ascii="Times New Roman" w:hAnsi="Times New Roman" w:eastAsia="方正仿宋简体" w:cs="方正仿宋简体"/>
          <w:b/>
          <w:bCs/>
          <w:color w:val="auto"/>
          <w:kern w:val="2"/>
          <w:sz w:val="32"/>
          <w:szCs w:val="32"/>
          <w:lang w:val="en-US" w:eastAsia="zh-CN"/>
        </w:rPr>
        <w:t>90.67</w:t>
      </w:r>
      <w:r>
        <w:rPr>
          <w:rFonts w:hint="eastAsia" w:ascii="Times New Roman" w:hAnsi="Times New Roman" w:eastAsia="方正仿宋简体" w:cs="方正仿宋简体"/>
          <w:b/>
          <w:bCs/>
          <w:color w:val="auto"/>
          <w:kern w:val="2"/>
          <w:sz w:val="32"/>
          <w:szCs w:val="32"/>
        </w:rPr>
        <w:t>%，比去年同期的</w:t>
      </w:r>
      <w:r>
        <w:rPr>
          <w:rFonts w:hint="eastAsia" w:ascii="Times New Roman" w:hAnsi="Times New Roman" w:eastAsia="方正仿宋简体" w:cs="方正仿宋简体"/>
          <w:b/>
          <w:bCs/>
          <w:color w:val="auto"/>
          <w:kern w:val="2"/>
          <w:sz w:val="32"/>
          <w:szCs w:val="32"/>
          <w:lang w:val="en-US" w:eastAsia="zh-CN"/>
        </w:rPr>
        <w:t>99.46</w:t>
      </w:r>
      <w:r>
        <w:rPr>
          <w:rFonts w:hint="eastAsia" w:ascii="Times New Roman" w:hAnsi="Times New Roman" w:eastAsia="方正仿宋简体" w:cs="方正仿宋简体"/>
          <w:b/>
          <w:bCs/>
          <w:color w:val="auto"/>
          <w:kern w:val="2"/>
          <w:sz w:val="32"/>
          <w:szCs w:val="32"/>
        </w:rPr>
        <w:t>%下降了</w:t>
      </w:r>
      <w:r>
        <w:rPr>
          <w:rFonts w:hint="eastAsia" w:ascii="Times New Roman" w:hAnsi="Times New Roman" w:eastAsia="方正仿宋简体" w:cs="方正仿宋简体"/>
          <w:b/>
          <w:bCs/>
          <w:color w:val="auto"/>
          <w:kern w:val="2"/>
          <w:sz w:val="32"/>
          <w:szCs w:val="32"/>
          <w:lang w:val="en-US" w:eastAsia="zh-CN"/>
        </w:rPr>
        <w:t>8.79</w:t>
      </w:r>
      <w:r>
        <w:rPr>
          <w:rFonts w:hint="eastAsia" w:ascii="Times New Roman" w:hAnsi="Times New Roman" w:eastAsia="方正仿宋简体" w:cs="方正仿宋简体"/>
          <w:b/>
          <w:bCs/>
          <w:color w:val="auto"/>
          <w:kern w:val="2"/>
          <w:sz w:val="32"/>
          <w:szCs w:val="32"/>
        </w:rPr>
        <w:t>个百分点。</w:t>
      </w:r>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5D2D31">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E5B290">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0E5B290">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2FBD13"/>
    <w:multiLevelType w:val="singleLevel"/>
    <w:tmpl w:val="3A2FBD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28E8704B"/>
    <w:rsid w:val="00023E53"/>
    <w:rsid w:val="00064C10"/>
    <w:rsid w:val="000B768B"/>
    <w:rsid w:val="000F4906"/>
    <w:rsid w:val="001048D2"/>
    <w:rsid w:val="001225CF"/>
    <w:rsid w:val="0016636E"/>
    <w:rsid w:val="00173818"/>
    <w:rsid w:val="001E70D3"/>
    <w:rsid w:val="001F0930"/>
    <w:rsid w:val="00215555"/>
    <w:rsid w:val="002659B0"/>
    <w:rsid w:val="0027474F"/>
    <w:rsid w:val="002F0D05"/>
    <w:rsid w:val="0033664A"/>
    <w:rsid w:val="00387CC5"/>
    <w:rsid w:val="003A2581"/>
    <w:rsid w:val="003B2746"/>
    <w:rsid w:val="003C0776"/>
    <w:rsid w:val="003F200B"/>
    <w:rsid w:val="0040651C"/>
    <w:rsid w:val="004613E2"/>
    <w:rsid w:val="004B3BB3"/>
    <w:rsid w:val="004B51FE"/>
    <w:rsid w:val="004C19A7"/>
    <w:rsid w:val="004F2DF9"/>
    <w:rsid w:val="005304BC"/>
    <w:rsid w:val="00545BAB"/>
    <w:rsid w:val="00590DF4"/>
    <w:rsid w:val="005C6338"/>
    <w:rsid w:val="005D0127"/>
    <w:rsid w:val="00646654"/>
    <w:rsid w:val="00663457"/>
    <w:rsid w:val="006C787C"/>
    <w:rsid w:val="007534E3"/>
    <w:rsid w:val="007B1BD4"/>
    <w:rsid w:val="007D5E77"/>
    <w:rsid w:val="00814BA3"/>
    <w:rsid w:val="008152B0"/>
    <w:rsid w:val="00843F2E"/>
    <w:rsid w:val="00883DD5"/>
    <w:rsid w:val="008A4D0D"/>
    <w:rsid w:val="008A6F95"/>
    <w:rsid w:val="00956D2F"/>
    <w:rsid w:val="009A5685"/>
    <w:rsid w:val="009D48DC"/>
    <w:rsid w:val="009E5784"/>
    <w:rsid w:val="00A45B31"/>
    <w:rsid w:val="00A87960"/>
    <w:rsid w:val="00B47D29"/>
    <w:rsid w:val="00B72AA9"/>
    <w:rsid w:val="00BA5853"/>
    <w:rsid w:val="00C34F1A"/>
    <w:rsid w:val="00C471A1"/>
    <w:rsid w:val="00C60935"/>
    <w:rsid w:val="00C65F09"/>
    <w:rsid w:val="00CC0C67"/>
    <w:rsid w:val="00D153C1"/>
    <w:rsid w:val="00D2501B"/>
    <w:rsid w:val="00D33D8F"/>
    <w:rsid w:val="00D34D61"/>
    <w:rsid w:val="00D43CE6"/>
    <w:rsid w:val="00DA289F"/>
    <w:rsid w:val="00DB13BB"/>
    <w:rsid w:val="00E01818"/>
    <w:rsid w:val="00E0765F"/>
    <w:rsid w:val="00E25793"/>
    <w:rsid w:val="00E60C18"/>
    <w:rsid w:val="00E6208D"/>
    <w:rsid w:val="00EC0809"/>
    <w:rsid w:val="00F53553"/>
    <w:rsid w:val="030A01E2"/>
    <w:rsid w:val="04C07E5F"/>
    <w:rsid w:val="068454A2"/>
    <w:rsid w:val="06D01345"/>
    <w:rsid w:val="088D6BCC"/>
    <w:rsid w:val="0E1625D1"/>
    <w:rsid w:val="14DA60E1"/>
    <w:rsid w:val="176E0FB5"/>
    <w:rsid w:val="19560A59"/>
    <w:rsid w:val="1B6E1071"/>
    <w:rsid w:val="1C496371"/>
    <w:rsid w:val="1C8F2AE8"/>
    <w:rsid w:val="1D0A2792"/>
    <w:rsid w:val="21785B44"/>
    <w:rsid w:val="25486BE3"/>
    <w:rsid w:val="26A93DBD"/>
    <w:rsid w:val="279D55DA"/>
    <w:rsid w:val="27F03E2A"/>
    <w:rsid w:val="28716ED4"/>
    <w:rsid w:val="28E8704B"/>
    <w:rsid w:val="290C75C1"/>
    <w:rsid w:val="29D47C5C"/>
    <w:rsid w:val="2A4822AF"/>
    <w:rsid w:val="2E8D617B"/>
    <w:rsid w:val="2EF22242"/>
    <w:rsid w:val="32777821"/>
    <w:rsid w:val="33180B55"/>
    <w:rsid w:val="334308AF"/>
    <w:rsid w:val="33C41072"/>
    <w:rsid w:val="3601249A"/>
    <w:rsid w:val="39AE61CA"/>
    <w:rsid w:val="3D910776"/>
    <w:rsid w:val="3DF23407"/>
    <w:rsid w:val="3EA017DC"/>
    <w:rsid w:val="3FBD419A"/>
    <w:rsid w:val="419C0824"/>
    <w:rsid w:val="41B757E9"/>
    <w:rsid w:val="41DF55AC"/>
    <w:rsid w:val="428C50F8"/>
    <w:rsid w:val="432F1892"/>
    <w:rsid w:val="43742EF4"/>
    <w:rsid w:val="44244964"/>
    <w:rsid w:val="455B3491"/>
    <w:rsid w:val="47353B60"/>
    <w:rsid w:val="47510149"/>
    <w:rsid w:val="4B8F5F5B"/>
    <w:rsid w:val="4EEF2F58"/>
    <w:rsid w:val="52DF6C8B"/>
    <w:rsid w:val="536B2CB8"/>
    <w:rsid w:val="57404164"/>
    <w:rsid w:val="576B5048"/>
    <w:rsid w:val="58BF571F"/>
    <w:rsid w:val="5A407308"/>
    <w:rsid w:val="5AD277FB"/>
    <w:rsid w:val="5BA2258D"/>
    <w:rsid w:val="5CC4729E"/>
    <w:rsid w:val="5D40272A"/>
    <w:rsid w:val="5DA0538F"/>
    <w:rsid w:val="5E145AF2"/>
    <w:rsid w:val="5F412942"/>
    <w:rsid w:val="5FA47421"/>
    <w:rsid w:val="60785E58"/>
    <w:rsid w:val="60B90048"/>
    <w:rsid w:val="61B5226F"/>
    <w:rsid w:val="66792F89"/>
    <w:rsid w:val="66EC3CFC"/>
    <w:rsid w:val="6A5519A2"/>
    <w:rsid w:val="6C305B70"/>
    <w:rsid w:val="6CD01971"/>
    <w:rsid w:val="6CDE381E"/>
    <w:rsid w:val="6D8C75E7"/>
    <w:rsid w:val="6F1B23DF"/>
    <w:rsid w:val="6F481423"/>
    <w:rsid w:val="71D022E5"/>
    <w:rsid w:val="749B73BF"/>
    <w:rsid w:val="75D26FF0"/>
    <w:rsid w:val="7ACE35B6"/>
    <w:rsid w:val="7D0F6E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semiHidden/>
    <w:unhideWhenUsed/>
    <w:qFormat/>
    <w:uiPriority w:val="0"/>
    <w:rPr>
      <w:sz w:val="18"/>
      <w:szCs w:val="18"/>
    </w:rPr>
  </w:style>
  <w:style w:type="paragraph" w:styleId="3">
    <w:name w:val="footer"/>
    <w:basedOn w:val="1"/>
    <w:link w:val="8"/>
    <w:autoRedefine/>
    <w:qFormat/>
    <w:uiPriority w:val="0"/>
    <w:pPr>
      <w:tabs>
        <w:tab w:val="center" w:pos="4153"/>
        <w:tab w:val="right" w:pos="8306"/>
      </w:tabs>
      <w:snapToGrid w:val="0"/>
      <w:jc w:val="left"/>
    </w:pPr>
    <w:rPr>
      <w:sz w:val="18"/>
      <w:szCs w:val="18"/>
    </w:rPr>
  </w:style>
  <w:style w:type="paragraph" w:styleId="4">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autoRedefine/>
    <w:qFormat/>
    <w:uiPriority w:val="0"/>
    <w:rPr>
      <w:rFonts w:asciiTheme="minorHAnsi" w:hAnsiTheme="minorHAnsi" w:eastAsiaTheme="minorEastAsia" w:cstheme="minorBidi"/>
      <w:kern w:val="2"/>
      <w:sz w:val="18"/>
      <w:szCs w:val="18"/>
    </w:rPr>
  </w:style>
  <w:style w:type="character" w:customStyle="1" w:styleId="8">
    <w:name w:val="页脚 Char"/>
    <w:basedOn w:val="6"/>
    <w:link w:val="3"/>
    <w:autoRedefine/>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autoRedefine/>
    <w:semiHidden/>
    <w:qFormat/>
    <w:uiPriority w:val="0"/>
    <w:rPr>
      <w:rFonts w:asciiTheme="minorHAnsi" w:hAnsiTheme="minorHAnsi" w:eastAsiaTheme="minorEastAsia" w:cstheme="minorBidi"/>
      <w:kern w:val="2"/>
      <w:sz w:val="18"/>
      <w:szCs w:val="18"/>
    </w:rPr>
  </w:style>
  <w:style w:type="paragraph" w:customStyle="1" w:styleId="10">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1">
    <w:name w:val="font11"/>
    <w:basedOn w:val="6"/>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758</Words>
  <Characters>1012</Characters>
  <Lines>7</Lines>
  <Paragraphs>2</Paragraphs>
  <TotalTime>10</TotalTime>
  <ScaleCrop>false</ScaleCrop>
  <LinksUpToDate>false</LinksUpToDate>
  <CharactersWithSpaces>1069</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Administrator</cp:lastModifiedBy>
  <cp:lastPrinted>2022-04-28T02:25:00Z</cp:lastPrinted>
  <dcterms:modified xsi:type="dcterms:W3CDTF">2024-06-28T15:52:56Z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5608CA5D181C4DD69F20942CE45907EA_13</vt:lpwstr>
  </property>
  <property fmtid="{D5CDD505-2E9C-101B-9397-08002B2CF9AE}" pid="4" name="commondata">
    <vt:lpwstr>eyJoZGlkIjoiMzIxYmMwMDJkYjZiMmFlYzdhY2YzYTliOWFhN2UxMzIifQ==</vt:lpwstr>
  </property>
</Properties>
</file>