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10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山东公用建筑工程施工有限责任公司</w:t>
      </w:r>
    </w:p>
    <w:p w14:paraId="5C451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年度财务等重大信息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公开</w:t>
      </w:r>
    </w:p>
    <w:p w14:paraId="50B06D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001CD2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6A035006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（一）基本信息</w:t>
      </w:r>
    </w:p>
    <w:p w14:paraId="14541F2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公司名称：山东公用建筑工程施工有限责任公司</w:t>
      </w:r>
    </w:p>
    <w:p w14:paraId="09420ED2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型：有限责任公司（自然人投资或控股的法人独资）</w:t>
      </w:r>
    </w:p>
    <w:p w14:paraId="0E163B2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法定代表人：张羽</w:t>
      </w:r>
    </w:p>
    <w:p w14:paraId="543F4340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 w14:paraId="61CE0887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注册地址：山东省济宁市共青团路14号全民健身广场东区商务楼汇汲大厦14楼</w:t>
      </w:r>
    </w:p>
    <w:p w14:paraId="0DCE8EB1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</w:t>
      </w:r>
    </w:p>
    <w:p w14:paraId="14A6F1F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一般项目：建筑材料销售，机械设备租赁；市政设施管理，家用电器安装服务，五金产品批发；装卸搬运，园林绿化工程施工；工程管理服务，住宅水电安装维护服务；土石方工程施工；建筑物清洁服务，城市绿化管理，建筑工程用机械销售，劳务服务 （不含劳务派遣），五金产品零售，建筑工程机械与设备租赁，建筑装饰材料销售；普通机械设备安装服务，对外承包工程；建筑用木料及木材组件加工，金属门窗工程施工，非金属矿物制品制造，硷结构构件销售；水泥制品制造，硷结构构件制造，水泥制品销售。（除依法须经批准的项目外，凭营业执张法自主开展经营活动）</w:t>
      </w:r>
    </w:p>
    <w:p w14:paraId="60C793C6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许可项目：建设工程施工，住宅室内装饰装修，建筑劳务分包；道路货物运输（不含危险货物）；供暖服务，燃气燃烧器具安装、维修。 （依法须经批准的项目，经相关部门批准后方可开展经营活动，具体经营项目以相关部门批准文件或许可证件为准）</w:t>
      </w:r>
    </w:p>
    <w:p w14:paraId="36F3325A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）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公司简介</w:t>
      </w:r>
    </w:p>
    <w:p w14:paraId="4FAF44DC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山东公用建筑工程施工有限责任公司（原名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济宁市德信水利工程质量与安全检测有限公司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成立于2011年1月，由山东公用水利发展集团有限公司独自出资。2021年3 月通过了S090001质量管理体系S14001环境管理体系ISO45001职业健康安全管理体系认证。</w:t>
      </w:r>
    </w:p>
    <w:p w14:paraId="0405D7E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公司主营业务为工程项目运行管护、工程项目维修养护等业务。公司自成立以来先后获得多次奖励，2016年获得中国水利工程协会颁发二等奖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2017年获得中国水利工程协会颁发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II类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成果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2020年11月被中国水利工程协会评为水利建设市场主体信用评价为AA级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2021年4月获得山东省水利厅、山东省总工会颁发水利工程优秀质量管理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成果等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倍加珍惜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每一份荣誉，坚持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科学公正，诚信精准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的质量方针，以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严谨高效、热情、尽责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为公司的服务宗旨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竭诚为您提供更好的服务，力求做到最好。</w:t>
      </w:r>
    </w:p>
    <w:p w14:paraId="5D4700D3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7D024F9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2023年度主要财务数据</w:t>
      </w:r>
    </w:p>
    <w:p w14:paraId="4C2A3F8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8713" w:type="dxa"/>
        <w:tblInd w:w="1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3487"/>
        <w:gridCol w:w="1875"/>
        <w:gridCol w:w="2175"/>
      </w:tblGrid>
      <w:tr w14:paraId="5638E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FC3F7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847EC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项目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上年同期金额</w:t>
            </w:r>
          </w:p>
        </w:tc>
      </w:tr>
      <w:tr w14:paraId="32E12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1A8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0F5F3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资产总额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96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980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797</w:t>
            </w:r>
          </w:p>
        </w:tc>
      </w:tr>
      <w:tr w14:paraId="23593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D26A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305D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负债总额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7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4F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23</w:t>
            </w:r>
          </w:p>
        </w:tc>
      </w:tr>
      <w:tr w14:paraId="30FE9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D8CA9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AE44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所有者权益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3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926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0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774</w:t>
            </w:r>
          </w:p>
        </w:tc>
      </w:tr>
      <w:tr w14:paraId="2EE03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E4C27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9DAF2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营业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总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收入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A4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583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A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588</w:t>
            </w:r>
          </w:p>
        </w:tc>
      </w:tr>
      <w:tr w14:paraId="474A4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734E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E48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营业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总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成本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EB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74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385</w:t>
            </w:r>
          </w:p>
        </w:tc>
      </w:tr>
      <w:tr w14:paraId="452B1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92C3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F9BDE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利润总额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9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2A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</w:tr>
    </w:tbl>
    <w:p w14:paraId="6BCBA18A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3994DBB6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2023 年度，公司实现营业总收入583万元，完成年度预算的133%；实现利润总额186万，元完成年度预算的140%；实现净利润176万元，完成年度预算的159%。</w:t>
      </w:r>
    </w:p>
    <w:p w14:paraId="23647088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财务会计报告和审计报告摘要</w:t>
      </w:r>
    </w:p>
    <w:p w14:paraId="23145350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FF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</w:rPr>
        <w:t>北京中名国成会计师事务所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</w:rPr>
        <w:t>特殊普通合伙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审计了山东公用工程管理有限公司财务报表包括2023年12月31日的资产负债表，2023 年度的利润表、现金流量表及所有者权益变动表以及相关财务报表附注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28266C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</w:pP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审计意见</w:t>
      </w:r>
    </w:p>
    <w:p w14:paraId="376451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事务所认为，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后附的财务报表在所有重大方面按照企业会计准则的规定编制，公允反映了贵公司2023年 12月31日的财务状况以及2023年度的经营成果和现金流量。</w:t>
      </w:r>
    </w:p>
    <w:p w14:paraId="020400B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autoSpaceDE w:val="0"/>
        <w:autoSpaceDN w:val="0"/>
        <w:bidi w:val="0"/>
        <w:spacing w:line="600" w:lineRule="exact"/>
        <w:ind w:left="0" w:leftChars="0" w:firstLine="643" w:firstLineChars="200"/>
        <w:textAlignment w:val="auto"/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</w:pP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形成审计意见的基础</w:t>
      </w:r>
    </w:p>
    <w:p w14:paraId="3B1AF6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事务所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按照中国注册会计师审计准则的规定执行了审计工作。审计报告的“注册会计师对财务报表审计的责任”部分进一步阐述了这些准则下的责任。按照中国注册会计师职业道德守则，独立于公司，并履行了职业道德方面的其他责任。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事务所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相信获取的审计证据是充分、适当的，为发表审计意见提供了基础。</w:t>
      </w:r>
    </w:p>
    <w:p w14:paraId="035F8DB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autoSpaceDE w:val="0"/>
        <w:autoSpaceDN w:val="0"/>
        <w:bidi w:val="0"/>
        <w:spacing w:line="600" w:lineRule="exact"/>
        <w:ind w:left="0" w:leftChars="0" w:firstLine="643" w:firstLineChars="200"/>
        <w:textAlignment w:val="auto"/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财务报表的编制基础</w:t>
      </w:r>
    </w:p>
    <w:p w14:paraId="6A6399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公司财务报表以持续经营为编制基础，根据实际发生的交易和事项，按照财政部颁布的《企业会计准则》及相关规定，并基于以下所述重要会计政策、会计估计进行编制。</w:t>
      </w:r>
    </w:p>
    <w:p w14:paraId="73FB1917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年度工作报告摘要</w:t>
      </w:r>
    </w:p>
    <w:p w14:paraId="28ABAA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</w:pP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val="en-US" w:eastAsia="zh-CN"/>
        </w:rPr>
        <w:t>一）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  <w:t>党建工作</w:t>
      </w:r>
    </w:p>
    <w:p w14:paraId="1FD9B5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kern w:val="44"/>
          <w:sz w:val="32"/>
          <w:szCs w:val="32"/>
          <w:lang w:eastAsia="zh-CN"/>
        </w:rPr>
        <w:t>在日常工作中压实工作责任，加强组织建设，落实意识形态工作。一是坚持把党建工作融入公司发展的每个环节，充分发挥党的核心引领作用，确保党建工作在公司各个环节都能够得到有效融入，以确保公司的发展始终在党的正确领导下，党的意识形态始终贯穿于企业的方针决策和实际操作之中。二是公司党支部依托“三会一课”、主题党日等载体，集中开展理论学习的同时，紧密结合主题陆续开展专题教育活动，在深学细照笃行中提高理论素养、坚定理想信念、增强能力本领，不断夯实坚定拥护“两个确立”、坚决做到“两个维护”的思想根基。</w:t>
      </w:r>
    </w:p>
    <w:p w14:paraId="67F0CA5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rightChars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val="en-US" w:eastAsia="zh-CN"/>
        </w:rPr>
        <w:t>二）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  <w:t>生产经营情况</w:t>
      </w:r>
    </w:p>
    <w:p w14:paraId="33E40987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济宁市截污导流工程运行情况</w:t>
      </w:r>
    </w:p>
    <w:p w14:paraId="24290E54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FF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本年度加压泵站安全运行约7845小时，输送中水约2515万立方米。全年运行期间，工程运行安全，各类设施完整、维修保养及时，水量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调控准确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，充分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shd w:val="clear" w:color="auto" w:fill="FFFFFF"/>
        </w:rPr>
        <w:t>发挥了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“截、蓄、导、用”功能和效益。</w:t>
      </w:r>
    </w:p>
    <w:p w14:paraId="6D4A805E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FF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蓄水区人工湿地运管项目运行情况</w:t>
      </w:r>
    </w:p>
    <w:p w14:paraId="0D79F8B8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本年度运行良好、水质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符合相关标准要求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2023年12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月主管部门管理考核工作组组织查看了湿地办公区、管理区现场，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并查看了工程运行资料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考核组认定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工程运行安全，管理到位，资金管理严格规范，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经济、社会、生态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方面取得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显著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效益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，综合评定为“优”。</w:t>
      </w:r>
    </w:p>
    <w:p w14:paraId="7F44B26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righ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“三个一”工作开展情况</w:t>
      </w:r>
    </w:p>
    <w:p w14:paraId="7006A75E">
      <w:pPr>
        <w:spacing w:line="600" w:lineRule="exact"/>
        <w:ind w:left="643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1.一个目标</w:t>
      </w:r>
    </w:p>
    <w:p w14:paraId="3C1354AF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完成年度安全生产目标，良好运行安全生产标准化体系及双重预防机制体系，为公司的可持续发展提供坚实的保障。</w:t>
      </w:r>
    </w:p>
    <w:p w14:paraId="396AD02D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2.一个主题</w:t>
      </w:r>
    </w:p>
    <w:p w14:paraId="1A28663A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守牢安全生产底线，三个项目已完成2023年运行管理任务，运行期间安全无事故，充分发挥了工程的社会效益，得到了主管部门的认可。</w:t>
      </w:r>
    </w:p>
    <w:p w14:paraId="5883EDB3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3.一个亮点</w:t>
      </w:r>
    </w:p>
    <w:p w14:paraId="1C51FFA2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本年度围绕“一个亮点”工作，一是多次组织培训学习，培训形式多样化包括理论学习、实操模拟、定期工作交流会议等，激发员工主动性，提升意识，丰富知识；二是成立运管攻坚工作小组，针对工作中出现的难点问题，工作小组制定了认真分析、充分研讨、制定策略、解决问题的工作模式，整个团队在处理解决难点问题取得显著进展；三是纳新，通过制定招聘计划，选择与公司下一步发展专业上适配的复合型人才，健全公司人才队伍，强化公司人员力量，为公司发展做好人才兜底。</w:t>
      </w:r>
    </w:p>
    <w:p w14:paraId="4E9E9A25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降本增效情况</w:t>
      </w:r>
    </w:p>
    <w:p w14:paraId="20E2A124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1.降低可控费用支出，加强管理，制定切实可行的降费用措施，着重降低办公费、车辆管理费、水电费等可控费用的支出。坚持由专人负责办公用品的申报、审批、发放。严格控制水电费用，做到节能降耗。</w:t>
      </w:r>
    </w:p>
    <w:p w14:paraId="56977634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2.强化全员降本增效意识。向员工传达降本增效的意义、目标、要求和措施，学习典型先进做法，形成全员参与降本增效的氛围，让降本增效的思想牢固树立在员工的头脑中。</w:t>
      </w:r>
    </w:p>
    <w:p w14:paraId="108BF0DC"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、年度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E824C45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A64C3"/>
    <w:multiLevelType w:val="singleLevel"/>
    <w:tmpl w:val="85BA64C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4BD7BCE"/>
    <w:multiLevelType w:val="singleLevel"/>
    <w:tmpl w:val="F4BD7B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04D728EB"/>
    <w:rsid w:val="07060E9E"/>
    <w:rsid w:val="075221F5"/>
    <w:rsid w:val="0BAF67CA"/>
    <w:rsid w:val="15200B35"/>
    <w:rsid w:val="1AE35B60"/>
    <w:rsid w:val="204A7002"/>
    <w:rsid w:val="25587FAA"/>
    <w:rsid w:val="28AA222B"/>
    <w:rsid w:val="2A7464BE"/>
    <w:rsid w:val="31090946"/>
    <w:rsid w:val="352D78BB"/>
    <w:rsid w:val="48C43A90"/>
    <w:rsid w:val="5488307C"/>
    <w:rsid w:val="54CC5B55"/>
    <w:rsid w:val="64AE3C76"/>
    <w:rsid w:val="64D11F7B"/>
    <w:rsid w:val="66E14363"/>
    <w:rsid w:val="695F606D"/>
    <w:rsid w:val="6B241DB7"/>
    <w:rsid w:val="6B756129"/>
    <w:rsid w:val="712B1FFA"/>
    <w:rsid w:val="78F43CAA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2451</Words>
  <Characters>2574</Characters>
  <Lines>0</Lines>
  <Paragraphs>0</Paragraphs>
  <TotalTime>11</TotalTime>
  <ScaleCrop>false</ScaleCrop>
  <LinksUpToDate>false</LinksUpToDate>
  <CharactersWithSpaces>2584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2024-06-28T06:54:00Z</cp:lastPrinted>
  <dcterms:modified xsi:type="dcterms:W3CDTF">2024-06-29T17:10:44Z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1FFF17E4713D426C88F79E1E7D1E9847_12</vt:lpwstr>
  </property>
</Properties>
</file>