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5E1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山东公用水利发展集团有限公司</w:t>
      </w:r>
    </w:p>
    <w:p w14:paraId="72C7F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 w14:paraId="5C426A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510C54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3EF19A02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方正楷体简体" w:hAnsi="方正楷体简体" w:eastAsia="方正楷体简体" w:cs="方正楷体简体"/>
          <w:b/>
          <w:bCs/>
          <w:kern w:val="0"/>
          <w:sz w:val="32"/>
          <w:szCs w:val="32"/>
          <w:u w:val="none"/>
          <w:shd w:val="clear"/>
          <w:lang w:val="en-US" w:eastAsia="zh-CN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u w:val="none"/>
          <w:shd w:val="clear"/>
          <w:lang w:val="en-US" w:eastAsia="zh-CN" w:bidi="zh-CN"/>
        </w:rPr>
        <w:t>（一）基本信息</w:t>
      </w:r>
    </w:p>
    <w:p w14:paraId="4A11E69E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</w:t>
      </w:r>
    </w:p>
    <w:p w14:paraId="503B6348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型：有限责任公司（非自然人投资或控股的法人独资）</w:t>
      </w:r>
    </w:p>
    <w:p w14:paraId="2C04F4C3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法定代表人：杨凤军</w:t>
      </w:r>
    </w:p>
    <w:p w14:paraId="4FEC344F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注册资金：壹亿元整</w:t>
      </w:r>
    </w:p>
    <w:p w14:paraId="0F27188D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注册地址：济宁市共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青团路14号健身广场综合楼12-14楼</w:t>
      </w:r>
    </w:p>
    <w:p w14:paraId="6A9DD46C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建设工程设计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勘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察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测绘服务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建筑物拆除作业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爆破作业除外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依法须经批准的项目，经相关部门批准后方可开展经营活动，具体经营项目以相关部门批准文件或许可证件为准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园林绿化工程施工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除依法须经批准的项目外，凭营业执照依法自主开展经营活动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0AC63883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（二）公司简介</w:t>
      </w:r>
    </w:p>
    <w:p w14:paraId="68823FA9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2021年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1月，经济宁市人民政府批准，由原济宁市水利工程施工公司、原济宁市水利机械公司转企改制组建成立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，为山东公用控股有限公司全资权属公司，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集团下设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权属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子公司。拥有水利水电工程施工总承包壹级及建筑施工、市政公用施工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级资质、工程测绘乙级资质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；权属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子公司拥有水利工程设计乙级资质、工程勘察乙级资质、水利工程咨询乙级资质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级资质，水利工程施工监理甲级、房屋建筑工程乙级资质、市政公用工程监理乙级资质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工程质量检测甲级资质。现已发展成以设计为龙头，以施工为主体，多元化经营的国有综合性企业，建立了严格的质量、环境、职业健康安全管理体系，科学的现代化企业管理方略。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集团先后承建了多项省内外水利重点工程，国内市场遍及山东、江苏、安徽、新疆、河南、云南、黑龙江、江西、湖北等20余省、自治区，所承担完成的项目荣获山东省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泰山杯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鲁水杯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优质工程奖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治淮文明工地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全国水利优秀质量管理小组成果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QC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等50余奖项。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集团先后被授予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全国水利安全生产标准化一级单位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全国优秀水利企业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全省水利工作先进集体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防汛抗旱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工作先进集体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等荣誉称号。</w:t>
      </w:r>
    </w:p>
    <w:p w14:paraId="6E4F8D0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kern w:val="2"/>
          <w:position w:val="0"/>
          <w:sz w:val="32"/>
          <w:szCs w:val="32"/>
          <w:shd w:val="clear" w:fill="auto"/>
          <w:lang w:val="zh-TW" w:eastAsia="zh-TW" w:bidi="zh-TW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3150B0E5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2023年度主要财务数据</w:t>
      </w:r>
    </w:p>
    <w:p w14:paraId="0BFAD98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4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2B1A5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E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96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04C57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B9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8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33368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A2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16254</w:t>
            </w:r>
          </w:p>
        </w:tc>
      </w:tr>
      <w:tr w14:paraId="07F07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E0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22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4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17C51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A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83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30428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AB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14192</w:t>
            </w:r>
          </w:p>
        </w:tc>
      </w:tr>
      <w:tr w14:paraId="1B09D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02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9A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2783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DF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2020</w:t>
            </w:r>
          </w:p>
        </w:tc>
      </w:tr>
      <w:tr w14:paraId="62B29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3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85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65370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49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38449</w:t>
            </w:r>
          </w:p>
        </w:tc>
      </w:tr>
      <w:tr w14:paraId="426EC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1E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9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34401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27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9628</w:t>
            </w:r>
          </w:p>
        </w:tc>
      </w:tr>
      <w:tr w14:paraId="1127B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41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8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30969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9E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28821</w:t>
            </w:r>
          </w:p>
        </w:tc>
      </w:tr>
    </w:tbl>
    <w:p w14:paraId="298B7549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78C0466D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度，水发集团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sz w:val="32"/>
          <w:szCs w:val="32"/>
          <w:u w:val="none"/>
          <w:lang w:val="en-US" w:eastAsia="zh-CN"/>
        </w:rPr>
        <w:t>33368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196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i w:val="0"/>
          <w:iCs w:val="0"/>
          <w:color w:val="000000"/>
          <w:sz w:val="32"/>
          <w:szCs w:val="32"/>
          <w:u w:val="none"/>
          <w:lang w:val="en-US" w:eastAsia="zh-CN"/>
        </w:rPr>
        <w:t>2783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111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2148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109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 w14:paraId="760D0628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方正黑体简体" w:hAnsi="方正黑体简体" w:eastAsia="方正黑体简体" w:cs="Times New Roman"/>
          <w:b/>
          <w:bCs/>
          <w:sz w:val="32"/>
          <w:szCs w:val="32"/>
          <w:highlight w:val="none"/>
        </w:rPr>
        <w:t>财务会计报告和审计报告摘要</w:t>
      </w:r>
    </w:p>
    <w:p w14:paraId="731303F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81" w:firstLine="479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（一）审计意见。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北京中名国成会计师事务所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特殊普通合伙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审计了山东公用水利发展集团有限公司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以下简称贵公司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财务报表，包括2023年12月31日的合并资产负债表，2023年度的合并利润表、合并现金流量表、合并所有者权益变动表以及相关财务报表附注。</w:t>
      </w:r>
    </w:p>
    <w:p w14:paraId="32DC035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74" w:firstLine="479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事务所认为，后附的财务报表在所有重大方面按照企业会计准则的规定编制，公允反映了公司2023年12月31日的合并财务状况以及2023年度的合并经营成果和现金流量。</w:t>
      </w:r>
    </w:p>
    <w:p w14:paraId="4DF9B7D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77" w:firstLine="479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（二）</w:t>
      </w:r>
      <w:r>
        <w:rPr>
          <w:rFonts w:hint="default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形成审计意见的基础</w:t>
      </w: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事务所按照中国注册会计师审计准则的规定执行了审计工作。审计报告的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注册会计师对财务报表审计的责任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部分进一步阐述了事务所在这些准则下的责任。按照中国注册会计师职业道德守则，事务所独立于贵公司，并履行了职业道德方面的其他责任。事务所相信，事务所获取的审计证据是充分、适当的，为发表审计意见提供了基础。</w:t>
      </w:r>
    </w:p>
    <w:p w14:paraId="4BDB21B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77" w:firstLine="479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（三）</w:t>
      </w:r>
      <w:r>
        <w:rPr>
          <w:rFonts w:hint="default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管理层和治理层对财务报表的责任</w:t>
      </w:r>
      <w:r>
        <w:rPr>
          <w:rFonts w:hint="eastAsia" w:ascii="方正楷体简体" w:hAnsi="方正楷体简体" w:eastAsia="方正楷体简体" w:cs="方正楷体简体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公司管理层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以下简称管理层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负责按照企业会计准则的规定编制财 务报表，使其实现公允反映，并设计、执行和维护必要的内部控制，以使财务报表不存在由于舞弊或错误导致的重大错报。</w:t>
      </w:r>
    </w:p>
    <w:p w14:paraId="4720603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5" w:right="377" w:firstLine="479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在编制财务报表时，管理层负责评估公司的持续经营能力，披露与持续经营相关的事项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如适用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），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并运用持续经营假设，除非管理层计划清算贵公司、终止运营或别无其他现实的选择。</w:t>
      </w:r>
    </w:p>
    <w:p w14:paraId="6C6D008D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公司治理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层负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责监督贵公司的财务报告过程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。</w:t>
      </w:r>
    </w:p>
    <w:p w14:paraId="0F91F6BD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董事会报告摘要</w:t>
      </w:r>
    </w:p>
    <w:p w14:paraId="483B109A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Times New Roman" w:hAnsi="Times New Roman" w:eastAsia="方正楷体简体"/>
          <w:b/>
          <w:bCs/>
          <w:color w:val="auto"/>
          <w:sz w:val="32"/>
          <w:szCs w:val="32"/>
        </w:rPr>
      </w:pPr>
      <w:r>
        <w:rPr>
          <w:rFonts w:ascii="Times New Roman" w:hAnsi="Times New Roman" w:eastAsia="方正楷体简体"/>
          <w:b/>
          <w:bCs/>
          <w:color w:val="auto"/>
          <w:sz w:val="32"/>
          <w:szCs w:val="32"/>
        </w:rPr>
        <w:t>（一）公司发展战略与规划情况</w:t>
      </w:r>
    </w:p>
    <w:p w14:paraId="29CA4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年，公司坚持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以设计为龙头，施工为主业，监理、检测、运行管理多轮驱动的经营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战略，聚焦主责主业，深化改革攻坚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，不断完善现代企业制度，持续抓重点、补短板、强弱项，主要经济指标实现稳步增长，保持了高质量发展的良好态势。</w:t>
      </w:r>
    </w:p>
    <w:p w14:paraId="4D1E0CE1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Times New Roman" w:hAnsi="Times New Roman" w:eastAsia="方正楷体简体"/>
          <w:b/>
          <w:bCs/>
          <w:color w:val="auto"/>
          <w:sz w:val="32"/>
          <w:szCs w:val="32"/>
        </w:rPr>
      </w:pPr>
      <w:r>
        <w:rPr>
          <w:rFonts w:ascii="Times New Roman" w:hAnsi="Times New Roman" w:eastAsia="方正楷体简体"/>
          <w:b/>
          <w:bCs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方正楷体简体"/>
          <w:b/>
          <w:bCs/>
          <w:color w:val="auto"/>
          <w:sz w:val="32"/>
          <w:szCs w:val="32"/>
          <w:lang w:eastAsia="zh-CN"/>
        </w:rPr>
        <w:t>二</w:t>
      </w:r>
      <w:r>
        <w:rPr>
          <w:rFonts w:ascii="Times New Roman" w:hAnsi="Times New Roman" w:eastAsia="方正楷体简体"/>
          <w:b/>
          <w:bCs/>
          <w:color w:val="auto"/>
          <w:sz w:val="32"/>
          <w:szCs w:val="32"/>
        </w:rPr>
        <w:t>）企业核心竞争力培育和提升情况</w:t>
      </w:r>
    </w:p>
    <w:p w14:paraId="17E89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科技创新情况。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2023年，公司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成立了3个质量管理QC小组，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申报的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3个课题《提高拦河闸现浇混凝土墩墙外观质量合格率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》《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提高堤顶路基强夯施工质量一次性验收合格率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》《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优化小贾排水沟排水方案》分别荣获国家级水利工程优秀质量成果奖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Ⅱ类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成果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项、III类成果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项。</w:t>
      </w:r>
    </w:p>
    <w:p w14:paraId="7BC46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市场营销情况。202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年度，公司深入实施“党建领航战略”，紧紧围绕“水利铁军”党建品牌，深度融合水利工程施工、设计等重点工作，以创新党建载体为抓手，以激发党建活力为目标，不断提升“水利铁军”党建品牌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整体影响力，逐步建立健全以市场引领、价值创造为导向的现代市场营销体系。</w:t>
      </w:r>
    </w:p>
    <w:p w14:paraId="733BA71B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ascii="Times New Roman" w:hAnsi="Times New Roman" w:eastAsia="方正仿宋简体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color w:val="auto"/>
          <w:sz w:val="32"/>
          <w:szCs w:val="32"/>
          <w:lang w:eastAsia="zh-CN"/>
        </w:rPr>
        <w:t>（三）</w:t>
      </w:r>
      <w:r>
        <w:rPr>
          <w:rFonts w:ascii="Times New Roman" w:hAnsi="Times New Roman" w:eastAsia="方正楷体简体"/>
          <w:b/>
          <w:bCs/>
          <w:color w:val="auto"/>
          <w:sz w:val="32"/>
          <w:szCs w:val="32"/>
        </w:rPr>
        <w:t>公司未来发</w:t>
      </w:r>
      <w:r>
        <w:rPr>
          <w:rFonts w:hint="eastAsia" w:ascii="方正楷体简体" w:hAnsi="方正楷体简体" w:eastAsia="方正楷体简体" w:cs="方正楷体简体"/>
          <w:b/>
          <w:bCs/>
          <w:color w:val="auto"/>
          <w:sz w:val="32"/>
          <w:szCs w:val="32"/>
        </w:rPr>
        <w:t>展潜力</w:t>
      </w:r>
    </w:p>
    <w:p w14:paraId="2EE2D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公司将根据自身发展目标，紧扣政策导向，坚持稳中求进，不断延伸产业链条，强化自身市场竞争力，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水利工程施工全产业链条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将显著增强。根据济宁市发展规划，为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更好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地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推进全市现代化水网建设，将不断完善水利基础设施网络，全面推进水利治理体系和治理能力现代化。公司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充分发挥水利水电工程施工总承包一级资质的优势，不断挖潜能增动能提效能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，为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全市现代化水网建设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贡献力量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。</w:t>
      </w:r>
    </w:p>
    <w:p w14:paraId="7F6F1B91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spacing w:line="600" w:lineRule="exact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color w:val="auto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auto"/>
          <w:sz w:val="32"/>
          <w:szCs w:val="32"/>
          <w:lang w:eastAsia="zh-CN"/>
        </w:rPr>
        <w:t>（四）</w:t>
      </w:r>
      <w:r>
        <w:rPr>
          <w:rFonts w:hint="eastAsia" w:ascii="方正楷体简体" w:hAnsi="方正楷体简体" w:eastAsia="方正楷体简体" w:cs="方正楷体简体"/>
          <w:b/>
          <w:bCs/>
          <w:color w:val="auto"/>
          <w:sz w:val="32"/>
          <w:szCs w:val="32"/>
        </w:rPr>
        <w:t>内部管理情况</w:t>
      </w:r>
    </w:p>
    <w:p w14:paraId="20F0B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公司坚持以“三会一层”为抓手，修订完善“三会一层”议事规则及议事清单，规范党委、董事、监事、经营层的履职行为，切实提高董事会履职的专业性和有效性。制定了《“三重一大”决策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实施办法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》等相关制度，并修订完善《公司章程》，深入了解和准确掌握公司基本情况、运营状况和重点项目实施情况等，及时发现存在的问题和风险，为公司发展提供参考、建议和支持，促进科学决策。</w:t>
      </w:r>
    </w:p>
    <w:p w14:paraId="01894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楷体简体"/>
          <w:b/>
          <w:bCs/>
          <w:color w:val="auto"/>
          <w:sz w:val="32"/>
          <w:szCs w:val="32"/>
        </w:rPr>
      </w:pPr>
      <w:r>
        <w:rPr>
          <w:rFonts w:ascii="Times New Roman" w:hAnsi="Times New Roman" w:eastAsia="方正楷体简体"/>
          <w:b/>
          <w:bCs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方正楷体简体"/>
          <w:b/>
          <w:bCs/>
          <w:color w:val="auto"/>
          <w:sz w:val="32"/>
          <w:szCs w:val="32"/>
          <w:lang w:eastAsia="zh-CN"/>
        </w:rPr>
        <w:t>五</w:t>
      </w:r>
      <w:r>
        <w:rPr>
          <w:rFonts w:ascii="Times New Roman" w:hAnsi="Times New Roman" w:eastAsia="方正楷体简体"/>
          <w:b/>
          <w:bCs/>
          <w:color w:val="auto"/>
          <w:sz w:val="32"/>
          <w:szCs w:val="32"/>
        </w:rPr>
        <w:t>）企业人力资源管理及公开招聘情况</w:t>
      </w:r>
    </w:p>
    <w:p w14:paraId="1F44F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/>
          <w:b/>
          <w:bCs/>
          <w:color w:val="auto"/>
          <w:sz w:val="32"/>
          <w:szCs w:val="32"/>
        </w:rPr>
      </w:pPr>
      <w:r>
        <w:rPr>
          <w:rFonts w:ascii="Times New Roman" w:hAnsi="Times New Roman" w:eastAsia="方正仿宋简体"/>
          <w:b/>
          <w:bCs/>
          <w:color w:val="auto"/>
          <w:sz w:val="32"/>
          <w:szCs w:val="32"/>
        </w:rPr>
        <w:t>1.公司根据内部人才需求，</w:t>
      </w:r>
      <w:r>
        <w:rPr>
          <w:rFonts w:hint="eastAsia" w:ascii="Times New Roman" w:hAnsi="Times New Roman" w:eastAsia="方正仿宋简体"/>
          <w:b/>
          <w:bCs/>
          <w:color w:val="auto"/>
          <w:sz w:val="32"/>
          <w:szCs w:val="32"/>
          <w:lang w:val="en-US" w:eastAsia="zh-CN"/>
        </w:rPr>
        <w:t>经过山东公用批准</w:t>
      </w:r>
      <w:r>
        <w:rPr>
          <w:rFonts w:ascii="Times New Roman" w:hAnsi="Times New Roman" w:eastAsia="方正仿宋简体"/>
          <w:b/>
          <w:bCs/>
          <w:color w:val="auto"/>
          <w:sz w:val="32"/>
          <w:szCs w:val="32"/>
        </w:rPr>
        <w:t>，制定了202</w:t>
      </w:r>
      <w:r>
        <w:rPr>
          <w:rFonts w:hint="eastAsia" w:ascii="Times New Roman" w:hAnsi="Times New Roman" w:eastAsia="方正仿宋简体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/>
          <w:b/>
          <w:bCs/>
          <w:color w:val="auto"/>
          <w:sz w:val="32"/>
          <w:szCs w:val="32"/>
        </w:rPr>
        <w:t>年劳动用工计划及招聘方案。通过多渠道公开招引人才，参加了</w:t>
      </w:r>
      <w:r>
        <w:rPr>
          <w:rFonts w:hint="eastAsia" w:ascii="Times New Roman" w:hAnsi="Times New Roman" w:eastAsia="方正仿宋简体"/>
          <w:b/>
          <w:bCs/>
          <w:color w:val="auto"/>
          <w:sz w:val="32"/>
          <w:szCs w:val="32"/>
          <w:lang w:val="en-US" w:eastAsia="zh-CN"/>
        </w:rPr>
        <w:t>山东公用组织的校园</w:t>
      </w:r>
      <w:r>
        <w:rPr>
          <w:rFonts w:ascii="Times New Roman" w:hAnsi="Times New Roman" w:eastAsia="方正仿宋简体"/>
          <w:b/>
          <w:bCs/>
          <w:color w:val="auto"/>
          <w:sz w:val="32"/>
          <w:szCs w:val="32"/>
        </w:rPr>
        <w:t>招聘活动，向广大毕业生进行了岗位推介</w:t>
      </w:r>
      <w:r>
        <w:rPr>
          <w:rFonts w:hint="eastAsia" w:ascii="Times New Roman" w:hAnsi="Times New Roman" w:eastAsia="方正仿宋简体"/>
          <w:b/>
          <w:bCs/>
          <w:color w:val="auto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方正仿宋简体"/>
          <w:b/>
          <w:bCs/>
          <w:color w:val="auto"/>
          <w:sz w:val="32"/>
          <w:szCs w:val="32"/>
          <w:lang w:val="en-US" w:eastAsia="zh-CN"/>
        </w:rPr>
        <w:t>将高层次人才招聘计划，报送山东公用统一安排招聘活动</w:t>
      </w:r>
      <w:r>
        <w:rPr>
          <w:rFonts w:hint="eastAsia" w:ascii="Times New Roman" w:hAnsi="Times New Roman" w:eastAsia="方正仿宋简体"/>
          <w:b/>
          <w:bCs/>
          <w:color w:val="auto"/>
          <w:sz w:val="32"/>
          <w:szCs w:val="32"/>
          <w:lang w:eastAsia="zh-CN"/>
        </w:rPr>
        <w:t>。</w:t>
      </w:r>
    </w:p>
    <w:p w14:paraId="29B2DBCB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/>
          <w:b/>
          <w:bCs/>
          <w:color w:val="auto"/>
          <w:sz w:val="32"/>
          <w:szCs w:val="32"/>
        </w:rPr>
        <w:t>2.公司高度重视人才培养工作，</w:t>
      </w:r>
      <w:r>
        <w:rPr>
          <w:rFonts w:hint="eastAsia" w:ascii="Times New Roman" w:hAnsi="Times New Roman" w:eastAsia="方正仿宋简体"/>
          <w:b/>
          <w:bCs/>
          <w:color w:val="auto"/>
          <w:sz w:val="32"/>
          <w:szCs w:val="32"/>
          <w:lang w:val="en-US" w:eastAsia="zh-CN"/>
        </w:rPr>
        <w:t>结合各权属公司生产经营特点和要求，制定了2023年度培训计划并报送山东公用备案。按照培训</w:t>
      </w:r>
      <w:r>
        <w:rPr>
          <w:rFonts w:hint="eastAsia" w:ascii="Times New Roman" w:hAnsi="Times New Roman" w:eastAsia="方正仿宋简体" w:cs="宋体"/>
          <w:b/>
          <w:bCs/>
          <w:color w:val="auto"/>
          <w:sz w:val="32"/>
          <w:szCs w:val="32"/>
          <w:lang w:val="en-US" w:eastAsia="zh-CN"/>
        </w:rPr>
        <w:t>计划先后</w:t>
      </w:r>
      <w:r>
        <w:rPr>
          <w:rFonts w:ascii="Times New Roman" w:hAnsi="Times New Roman" w:eastAsia="方正仿宋简体" w:cs="宋体"/>
          <w:b/>
          <w:bCs/>
          <w:color w:val="auto"/>
          <w:sz w:val="32"/>
          <w:szCs w:val="32"/>
        </w:rPr>
        <w:t>开展</w:t>
      </w:r>
      <w:r>
        <w:rPr>
          <w:rFonts w:hint="eastAsia" w:ascii="Times New Roman" w:hAnsi="Times New Roman" w:eastAsia="方正仿宋简体" w:cs="宋体"/>
          <w:b/>
          <w:bCs/>
          <w:color w:val="auto"/>
          <w:sz w:val="32"/>
          <w:szCs w:val="32"/>
          <w:lang w:val="en-US" w:eastAsia="zh-CN"/>
        </w:rPr>
        <w:t>了</w:t>
      </w:r>
      <w:r>
        <w:rPr>
          <w:rFonts w:ascii="Times New Roman" w:hAnsi="Times New Roman" w:eastAsia="方正仿宋简体" w:cs="宋体"/>
          <w:b/>
          <w:bCs/>
          <w:color w:val="auto"/>
          <w:sz w:val="32"/>
          <w:szCs w:val="32"/>
          <w:lang w:val="en-US" w:eastAsia="zh-CN"/>
        </w:rPr>
        <w:t>水利安全生产风险管控“六项机制</w:t>
      </w:r>
      <w:r>
        <w:rPr>
          <w:rFonts w:hint="eastAsia" w:ascii="Times New Roman" w:hAnsi="Times New Roman" w:eastAsia="方正仿宋简体" w:cs="宋体"/>
          <w:b/>
          <w:bCs/>
          <w:color w:val="auto"/>
          <w:sz w:val="32"/>
          <w:szCs w:val="32"/>
          <w:lang w:val="en-US" w:eastAsia="zh-CN"/>
        </w:rPr>
        <w:t>”《</w:t>
      </w:r>
      <w:r>
        <w:rPr>
          <w:rFonts w:hint="eastAsia" w:ascii="Times New Roman" w:hAnsi="Times New Roman" w:eastAsia="方正仿宋简体" w:cs="宋体"/>
          <w:b/>
          <w:bCs/>
          <w:color w:val="auto"/>
          <w:sz w:val="32"/>
          <w:szCs w:val="32"/>
          <w:lang w:eastAsia="zh-CN"/>
        </w:rPr>
        <w:t>安全生产法》、</w:t>
      </w:r>
      <w:r>
        <w:rPr>
          <w:rFonts w:hint="eastAsia" w:ascii="Times New Roman" w:hAnsi="Times New Roman" w:eastAsia="方正仿宋简体" w:cs="宋体"/>
          <w:b/>
          <w:bCs/>
          <w:color w:val="auto"/>
          <w:sz w:val="32"/>
          <w:szCs w:val="32"/>
          <w:lang w:val="en-US" w:eastAsia="zh-CN"/>
        </w:rPr>
        <w:t>安全生产诊断及安全生产教育、水利水电工程设计、河湖健康评价及河流生态修复、信用评价、资质申报、监理工程师、咨询工程师、劳动争议、执行力、技术工人等各项培训</w:t>
      </w:r>
      <w:r>
        <w:rPr>
          <w:rFonts w:hint="eastAsia" w:ascii="Times New Roman" w:hAnsi="Times New Roman" w:eastAsia="方正仿宋简体" w:cs="宋体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宋体"/>
          <w:b/>
          <w:bCs/>
          <w:color w:val="auto"/>
          <w:sz w:val="32"/>
          <w:szCs w:val="32"/>
          <w:lang w:val="en-US" w:eastAsia="zh-CN"/>
        </w:rPr>
        <w:t>通过培训全面提升了员工的职业素养和技术能力，使员工的履职能力有了较大程度地提高。</w:t>
      </w:r>
    </w:p>
    <w:p w14:paraId="505E0118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2E49CCEB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19361DA"/>
    <w:rsid w:val="02C81A82"/>
    <w:rsid w:val="04A844E4"/>
    <w:rsid w:val="0F5C2A9C"/>
    <w:rsid w:val="1C41040D"/>
    <w:rsid w:val="1C437FF5"/>
    <w:rsid w:val="230F347D"/>
    <w:rsid w:val="232C45A4"/>
    <w:rsid w:val="23FB6F81"/>
    <w:rsid w:val="25587FAA"/>
    <w:rsid w:val="288064E8"/>
    <w:rsid w:val="28AA222B"/>
    <w:rsid w:val="28BC535A"/>
    <w:rsid w:val="2AF92FF6"/>
    <w:rsid w:val="2DB70B5A"/>
    <w:rsid w:val="306868BC"/>
    <w:rsid w:val="33F31D84"/>
    <w:rsid w:val="35335357"/>
    <w:rsid w:val="3CA3449E"/>
    <w:rsid w:val="3DA53296"/>
    <w:rsid w:val="43B17BF4"/>
    <w:rsid w:val="46FC4528"/>
    <w:rsid w:val="4F3B2CD9"/>
    <w:rsid w:val="50535B0F"/>
    <w:rsid w:val="5495158A"/>
    <w:rsid w:val="54CC5B55"/>
    <w:rsid w:val="58FF3F63"/>
    <w:rsid w:val="5A7F1C76"/>
    <w:rsid w:val="61961ADD"/>
    <w:rsid w:val="64147345"/>
    <w:rsid w:val="646232A1"/>
    <w:rsid w:val="697418A4"/>
    <w:rsid w:val="6B482CC7"/>
    <w:rsid w:val="6B756129"/>
    <w:rsid w:val="6C3147F1"/>
    <w:rsid w:val="6C5F3DEE"/>
    <w:rsid w:val="6D2E2052"/>
    <w:rsid w:val="761A318D"/>
    <w:rsid w:val="774529F6"/>
    <w:rsid w:val="7A675E3B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customStyle="1" w:styleId="6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2690</Words>
  <Characters>2815</Characters>
  <Lines>0</Lines>
  <Paragraphs>0</Paragraphs>
  <TotalTime>4</TotalTime>
  <ScaleCrop>false</ScaleCrop>
  <LinksUpToDate>false</LinksUpToDate>
  <CharactersWithSpaces>2820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dcterms:modified xsi:type="dcterms:W3CDTF">2024-06-29T17:06:19Z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1FFF17E4713D426C88F79E1E7D1E9847_12</vt:lpwstr>
  </property>
</Properties>
</file>