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A78667">
      <w:pPr>
        <w:snapToGrid w:val="0"/>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val="en-US" w:eastAsia="zh-CN"/>
        </w:rPr>
        <w:t>山东公用水务集团</w:t>
      </w:r>
      <w:r>
        <w:rPr>
          <w:rFonts w:hint="eastAsia" w:ascii="方正小标宋简体" w:hAnsi="方正小标宋简体" w:eastAsia="方正小标宋简体" w:cs="方正小标宋简体"/>
          <w:b/>
          <w:bCs/>
          <w:sz w:val="44"/>
          <w:szCs w:val="44"/>
        </w:rPr>
        <w:t xml:space="preserve">有限公司 </w:t>
      </w:r>
    </w:p>
    <w:p w14:paraId="5E9F50A1">
      <w:pPr>
        <w:snapToGrid w:val="0"/>
        <w:spacing w:line="640" w:lineRule="exact"/>
        <w:jc w:val="center"/>
        <w:rPr>
          <w:rFonts w:hint="eastAsia" w:ascii="宋体" w:hAnsi="宋体" w:eastAsia="方正小标宋简体" w:cs="宋体"/>
          <w:sz w:val="24"/>
          <w:lang w:eastAsia="zh-CN"/>
        </w:rPr>
      </w:pPr>
      <w:r>
        <w:rPr>
          <w:rFonts w:hint="eastAsia" w:ascii="方正小标宋简体" w:hAnsi="方正小标宋简体" w:eastAsia="方正小标宋简体" w:cs="方正小标宋简体"/>
          <w:b/>
          <w:bCs/>
          <w:sz w:val="44"/>
          <w:szCs w:val="44"/>
        </w:rPr>
        <w:t>202</w:t>
      </w:r>
      <w:r>
        <w:rPr>
          <w:rFonts w:hint="eastAsia" w:ascii="方正小标宋简体" w:hAnsi="方正小标宋简体" w:eastAsia="方正小标宋简体" w:cs="方正小标宋简体"/>
          <w:b/>
          <w:bCs/>
          <w:sz w:val="44"/>
          <w:szCs w:val="44"/>
          <w:lang w:val="en-US" w:eastAsia="zh-CN"/>
        </w:rPr>
        <w:t>3</w:t>
      </w:r>
      <w:r>
        <w:rPr>
          <w:rFonts w:hint="eastAsia" w:ascii="方正小标宋简体" w:hAnsi="方正小标宋简体" w:eastAsia="方正小标宋简体" w:cs="方正小标宋简体"/>
          <w:b/>
          <w:bCs/>
          <w:sz w:val="44"/>
          <w:szCs w:val="44"/>
        </w:rPr>
        <w:t>年度财务重大信息公开</w:t>
      </w:r>
    </w:p>
    <w:p w14:paraId="14EC8BB6">
      <w:pPr>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 xml:space="preserve"> </w:t>
      </w:r>
    </w:p>
    <w:p w14:paraId="0527E95C">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 xml:space="preserve">一、公司基本情况 </w:t>
      </w:r>
    </w:p>
    <w:p w14:paraId="41077457">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1</w:t>
      </w:r>
      <w:r>
        <w:rPr>
          <w:rFonts w:hint="eastAsia" w:ascii="方正仿宋简体" w:hAnsi="方正仿宋简体" w:eastAsia="方正仿宋简体" w:cs="方正仿宋简体"/>
          <w:b/>
          <w:bCs/>
          <w:sz w:val="32"/>
          <w:szCs w:val="32"/>
          <w:lang w:val="en-US" w:eastAsia="zh-CN"/>
        </w:rPr>
        <w:t>.公司</w:t>
      </w:r>
      <w:r>
        <w:rPr>
          <w:rFonts w:hint="eastAsia" w:ascii="方正仿宋简体" w:hAnsi="方正仿宋简体" w:eastAsia="方正仿宋简体" w:cs="方正仿宋简体"/>
          <w:b/>
          <w:bCs/>
          <w:sz w:val="32"/>
          <w:szCs w:val="32"/>
        </w:rPr>
        <w:t>名称：</w:t>
      </w:r>
      <w:r>
        <w:rPr>
          <w:rFonts w:hint="eastAsia" w:ascii="方正仿宋简体" w:hAnsi="方正仿宋简体" w:eastAsia="方正仿宋简体" w:cs="方正仿宋简体"/>
          <w:b/>
          <w:bCs/>
          <w:sz w:val="32"/>
          <w:szCs w:val="32"/>
          <w:lang w:val="en-US" w:eastAsia="zh-CN"/>
        </w:rPr>
        <w:t>山东公用水务集团</w:t>
      </w:r>
      <w:r>
        <w:rPr>
          <w:rFonts w:hint="eastAsia" w:ascii="方正仿宋简体" w:hAnsi="方正仿宋简体" w:eastAsia="方正仿宋简体" w:cs="方正仿宋简体"/>
          <w:b/>
          <w:bCs/>
          <w:sz w:val="32"/>
          <w:szCs w:val="32"/>
        </w:rPr>
        <w:t>有限公司</w:t>
      </w:r>
    </w:p>
    <w:p w14:paraId="663E3B9D">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Times New Roman" w:hAnsi="Times New Roman" w:eastAsia="方正仿宋简体" w:cs="Times New Roman"/>
          <w:b/>
          <w:bCs/>
          <w:sz w:val="32"/>
          <w:szCs w:val="32"/>
          <w:lang w:val="en-US" w:eastAsia="zh-CN"/>
        </w:rPr>
        <w:t>2</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法定代表人：</w:t>
      </w:r>
      <w:r>
        <w:rPr>
          <w:rFonts w:hint="eastAsia" w:ascii="方正仿宋简体" w:hAnsi="方正仿宋简体" w:eastAsia="方正仿宋简体" w:cs="方正仿宋简体"/>
          <w:b/>
          <w:bCs/>
          <w:sz w:val="32"/>
          <w:szCs w:val="32"/>
          <w:lang w:val="en-US" w:eastAsia="zh-CN"/>
        </w:rPr>
        <w:t>王宗莉</w:t>
      </w:r>
    </w:p>
    <w:p w14:paraId="31CBB9CE">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3</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注册地址：山东省济宁市任城区红星中路</w:t>
      </w:r>
      <w:r>
        <w:rPr>
          <w:rFonts w:hint="default" w:ascii="Times New Roman" w:hAnsi="Times New Roman" w:eastAsia="方正仿宋简体" w:cs="Times New Roman"/>
          <w:b/>
          <w:bCs/>
          <w:sz w:val="32"/>
          <w:szCs w:val="32"/>
        </w:rPr>
        <w:t>23</w:t>
      </w:r>
      <w:r>
        <w:rPr>
          <w:rFonts w:hint="eastAsia" w:ascii="方正仿宋简体" w:hAnsi="方正仿宋简体" w:eastAsia="方正仿宋简体" w:cs="方正仿宋简体"/>
          <w:b/>
          <w:bCs/>
          <w:sz w:val="32"/>
          <w:szCs w:val="32"/>
        </w:rPr>
        <w:t>号</w:t>
      </w:r>
    </w:p>
    <w:p w14:paraId="0395C3D0">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4</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 xml:space="preserve">经营范围：自来水生产和供应；污水处理及其再生利用；水务行业的投资、建设、设计、施工、经营管理；水质化验；水务技术开发、技术咨询。（依法须经批准的项目，经相关部门批准后方可开展经营活动） </w:t>
      </w:r>
    </w:p>
    <w:p w14:paraId="5EE15A83">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Times New Roman" w:hAnsi="Times New Roman" w:eastAsia="方正仿宋简体" w:cs="Times New Roman"/>
          <w:b/>
          <w:bCs/>
          <w:sz w:val="32"/>
          <w:szCs w:val="32"/>
          <w:lang w:val="en-US" w:eastAsia="zh-CN"/>
        </w:rPr>
        <w:t>5</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公司简介:山东公用水务集团有限公司是山东公用控股旗下专注于水资源循环利用和水生态环境保护事业的旗舰企业。公司成立于</w:t>
      </w:r>
      <w:r>
        <w:rPr>
          <w:rFonts w:hint="eastAsia" w:ascii="Times New Roman" w:hAnsi="Times New Roman" w:eastAsia="方正仿宋简体" w:cs="Times New Roman"/>
          <w:b/>
          <w:bCs/>
          <w:sz w:val="32"/>
          <w:szCs w:val="32"/>
        </w:rPr>
        <w:t>2019</w:t>
      </w:r>
      <w:r>
        <w:rPr>
          <w:rFonts w:hint="eastAsia" w:ascii="方正仿宋简体" w:hAnsi="方正仿宋简体" w:eastAsia="方正仿宋简体" w:cs="方正仿宋简体"/>
          <w:b/>
          <w:bCs/>
          <w:sz w:val="32"/>
          <w:szCs w:val="32"/>
        </w:rPr>
        <w:t>年，注册资金</w:t>
      </w:r>
      <w:r>
        <w:rPr>
          <w:rFonts w:hint="eastAsia"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亿元，是集水务行业投资、建设、设计、施工、经营管理，水务技术开发、技术咨询为一体的综合水务环境服务商。</w:t>
      </w:r>
      <w:r>
        <w:rPr>
          <w:rFonts w:hint="eastAsia" w:ascii="方正仿宋简体" w:hAnsi="方正仿宋简体" w:eastAsia="方正仿宋简体" w:cs="方正仿宋简体"/>
          <w:b/>
          <w:bCs/>
          <w:sz w:val="32"/>
          <w:szCs w:val="32"/>
          <w:lang w:val="en-US" w:eastAsia="zh-CN"/>
        </w:rPr>
        <w:t>截至目前，</w:t>
      </w:r>
      <w:r>
        <w:rPr>
          <w:rFonts w:hint="eastAsia" w:ascii="Times New Roman" w:hAnsi="Times New Roman" w:eastAsia="方正仿宋简体" w:cs="Times New Roman"/>
          <w:b/>
          <w:bCs/>
          <w:sz w:val="32"/>
          <w:szCs w:val="32"/>
          <w:lang w:val="en-US" w:eastAsia="zh-CN"/>
        </w:rPr>
        <w:t>公司合计权属供水厂21座，日供水能力41万立方米，污水厂18座，日处理污水能力66万立</w:t>
      </w:r>
      <w:r>
        <w:rPr>
          <w:rFonts w:hint="eastAsia" w:ascii="方正仿宋简体" w:hAnsi="方正仿宋简体" w:eastAsia="方正仿宋简体" w:cs="方正仿宋简体"/>
          <w:b/>
          <w:bCs/>
          <w:sz w:val="32"/>
          <w:szCs w:val="32"/>
          <w:lang w:eastAsia="zh-CN"/>
        </w:rPr>
        <w:t>方米，</w:t>
      </w:r>
      <w:r>
        <w:rPr>
          <w:rFonts w:hint="eastAsia" w:ascii="方正仿宋简体" w:hAnsi="方正仿宋简体" w:eastAsia="方正仿宋简体" w:cs="方正仿宋简体"/>
          <w:b/>
          <w:bCs/>
          <w:sz w:val="32"/>
          <w:szCs w:val="32"/>
          <w:lang w:val="en-US" w:eastAsia="zh-CN"/>
        </w:rPr>
        <w:t>通过提标改造，出水水质指标均达到准Ⅳ类标准，</w:t>
      </w:r>
      <w:r>
        <w:rPr>
          <w:rFonts w:hint="eastAsia" w:ascii="方正仿宋简体" w:hAnsi="方正仿宋简体" w:eastAsia="方正仿宋简体" w:cs="方正仿宋简体"/>
          <w:b/>
          <w:bCs/>
          <w:sz w:val="32"/>
          <w:szCs w:val="32"/>
          <w:lang w:eastAsia="zh-CN"/>
        </w:rPr>
        <w:t>服务人口</w:t>
      </w:r>
      <w:r>
        <w:rPr>
          <w:rFonts w:hint="eastAsia" w:ascii="方正仿宋简体" w:hAnsi="方正仿宋简体" w:eastAsia="方正仿宋简体" w:cs="方正仿宋简体"/>
          <w:b/>
          <w:bCs/>
          <w:sz w:val="32"/>
          <w:szCs w:val="32"/>
          <w:lang w:val="en-US" w:eastAsia="zh-CN"/>
        </w:rPr>
        <w:t>约</w:t>
      </w:r>
      <w:r>
        <w:rPr>
          <w:rFonts w:hint="eastAsia" w:ascii="Times New Roman" w:hAnsi="Times New Roman" w:eastAsia="方正仿宋简体" w:cs="Times New Roman"/>
          <w:b/>
          <w:bCs/>
          <w:sz w:val="32"/>
          <w:szCs w:val="32"/>
          <w:lang w:val="en-US" w:eastAsia="zh-CN"/>
        </w:rPr>
        <w:t>400万</w:t>
      </w:r>
      <w:r>
        <w:rPr>
          <w:rFonts w:hint="eastAsia" w:ascii="方正仿宋简体" w:hAnsi="方正仿宋简体" w:eastAsia="方正仿宋简体" w:cs="方正仿宋简体"/>
          <w:b/>
          <w:bCs/>
          <w:sz w:val="32"/>
          <w:szCs w:val="32"/>
          <w:lang w:val="en-US" w:eastAsia="zh-CN"/>
        </w:rPr>
        <w:t>人</w:t>
      </w:r>
      <w:r>
        <w:rPr>
          <w:rFonts w:hint="eastAsia" w:ascii="方正仿宋简体" w:hAnsi="方正仿宋简体" w:eastAsia="方正仿宋简体" w:cs="方正仿宋简体"/>
          <w:b/>
          <w:bCs/>
          <w:sz w:val="32"/>
          <w:szCs w:val="32"/>
          <w:lang w:eastAsia="zh-CN"/>
        </w:rPr>
        <w:t>。</w:t>
      </w:r>
    </w:p>
    <w:p w14:paraId="063CB37B">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Times New Roman" w:hAnsi="Times New Roman" w:eastAsia="方正仿宋简体" w:cs="Times New Roman"/>
          <w:b/>
          <w:bCs/>
          <w:sz w:val="32"/>
          <w:szCs w:val="32"/>
          <w:lang w:val="en-US" w:eastAsia="zh-CN"/>
        </w:rPr>
        <w:t>2023年，在集团公司的鼎力支持下，公司成功引入世界五百强、全球环境发展龙头企业--苏伊士环境集团为合作主体，共同建设运营曲阜市陵城10万方/日污水处理厂项目，在此基础上，双方不断拓宽合作范围及产业领域，为公司建设成为“鲁南水务行业发展标杆”及“全国水务领先水务行业综合服务商”奠定了坚实基础</w:t>
      </w:r>
      <w:r>
        <w:rPr>
          <w:rFonts w:hint="eastAsia" w:ascii="方正仿宋简体" w:hAnsi="方正仿宋简体" w:eastAsia="方正仿宋简体" w:cs="方正仿宋简体"/>
          <w:b/>
          <w:bCs/>
          <w:sz w:val="32"/>
          <w:szCs w:val="32"/>
          <w:lang w:val="en-US" w:eastAsia="zh-CN"/>
        </w:rPr>
        <w:t>。</w:t>
      </w:r>
    </w:p>
    <w:p w14:paraId="6A8EB84F">
      <w:pPr>
        <w:snapToGrid w:val="0"/>
        <w:spacing w:line="580" w:lineRule="exact"/>
        <w:ind w:firstLine="643" w:firstLineChars="200"/>
        <w:rPr>
          <w:rFonts w:hint="eastAsia" w:ascii="方正黑体简体" w:hAnsi="方正黑体简体" w:eastAsia="方正黑体简体" w:cs="方正黑体简体"/>
          <w:b/>
          <w:bCs/>
          <w:spacing w:val="-6"/>
          <w:sz w:val="32"/>
          <w:szCs w:val="32"/>
        </w:rPr>
      </w:pPr>
      <w:r>
        <w:rPr>
          <w:rFonts w:hint="eastAsia" w:ascii="方正黑体简体" w:hAnsi="方正黑体简体" w:eastAsia="方正黑体简体" w:cs="方正黑体简体"/>
          <w:b/>
          <w:bCs/>
          <w:sz w:val="32"/>
          <w:szCs w:val="32"/>
        </w:rPr>
        <w:t>二、主要会计数据和财务指标</w:t>
      </w:r>
      <w:r>
        <w:rPr>
          <w:rFonts w:hint="default" w:ascii="方正黑体简体" w:hAnsi="方正黑体简体" w:eastAsia="方正黑体简体" w:cs="方正黑体简体"/>
          <w:b/>
          <w:bCs/>
          <w:spacing w:val="-6"/>
          <w:sz w:val="32"/>
          <w:szCs w:val="32"/>
        </w:rPr>
        <w:t>（截至到202</w:t>
      </w:r>
      <w:r>
        <w:rPr>
          <w:rFonts w:hint="default" w:ascii="方正黑体简体" w:hAnsi="方正黑体简体" w:eastAsia="方正黑体简体" w:cs="方正黑体简体"/>
          <w:b/>
          <w:bCs/>
          <w:spacing w:val="-6"/>
          <w:sz w:val="32"/>
          <w:szCs w:val="32"/>
          <w:lang w:val="en-US" w:eastAsia="zh-CN"/>
        </w:rPr>
        <w:t>3</w:t>
      </w:r>
      <w:r>
        <w:rPr>
          <w:rFonts w:hint="default" w:ascii="方正黑体简体" w:hAnsi="方正黑体简体" w:eastAsia="方正黑体简体" w:cs="方正黑体简体"/>
          <w:b/>
          <w:bCs/>
          <w:spacing w:val="-6"/>
          <w:sz w:val="32"/>
          <w:szCs w:val="32"/>
        </w:rPr>
        <w:t>年</w:t>
      </w:r>
      <w:r>
        <w:rPr>
          <w:rFonts w:hint="default" w:ascii="方正黑体简体" w:hAnsi="方正黑体简体" w:eastAsia="方正黑体简体" w:cs="方正黑体简体"/>
          <w:b/>
          <w:bCs/>
          <w:spacing w:val="-6"/>
          <w:sz w:val="32"/>
          <w:szCs w:val="32"/>
          <w:lang w:val="en-US" w:eastAsia="zh-CN"/>
        </w:rPr>
        <w:t>12</w:t>
      </w:r>
      <w:r>
        <w:rPr>
          <w:rFonts w:hint="default" w:ascii="方正黑体简体" w:hAnsi="方正黑体简体" w:eastAsia="方正黑体简体" w:cs="方正黑体简体"/>
          <w:b/>
          <w:bCs/>
          <w:spacing w:val="-6"/>
          <w:sz w:val="32"/>
          <w:szCs w:val="32"/>
        </w:rPr>
        <w:t>月</w:t>
      </w:r>
      <w:r>
        <w:rPr>
          <w:rFonts w:hint="default" w:ascii="方正黑体简体" w:hAnsi="方正黑体简体" w:eastAsia="方正黑体简体" w:cs="方正黑体简体"/>
          <w:b/>
          <w:bCs/>
          <w:spacing w:val="-6"/>
          <w:sz w:val="32"/>
          <w:szCs w:val="32"/>
          <w:lang w:val="en-US" w:eastAsia="zh-CN"/>
        </w:rPr>
        <w:t>31</w:t>
      </w:r>
      <w:r>
        <w:rPr>
          <w:rFonts w:hint="default" w:ascii="方正黑体简体" w:hAnsi="方正黑体简体" w:eastAsia="方正黑体简体" w:cs="方正黑体简体"/>
          <w:b/>
          <w:bCs/>
          <w:spacing w:val="-6"/>
          <w:sz w:val="32"/>
          <w:szCs w:val="32"/>
        </w:rPr>
        <w:t>日）</w:t>
      </w:r>
    </w:p>
    <w:p w14:paraId="5B078156">
      <w:pPr>
        <w:ind w:firstLine="6746" w:firstLineChars="21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eastAsia="zh-CN"/>
        </w:rPr>
        <w:t>单</w:t>
      </w:r>
      <w:r>
        <w:rPr>
          <w:rFonts w:hint="default" w:ascii="Times New Roman" w:hAnsi="Times New Roman" w:eastAsia="方正仿宋简体" w:cs="Times New Roman"/>
          <w:b/>
          <w:bCs/>
          <w:sz w:val="32"/>
          <w:szCs w:val="32"/>
        </w:rPr>
        <w:t>位： 万元</w:t>
      </w:r>
    </w:p>
    <w:tbl>
      <w:tblPr>
        <w:tblStyle w:val="5"/>
        <w:tblW w:w="0" w:type="auto"/>
        <w:tblInd w:w="2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10"/>
        <w:gridCol w:w="4605"/>
      </w:tblGrid>
      <w:tr w14:paraId="6211F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0" w:type="dxa"/>
          </w:tcPr>
          <w:p w14:paraId="5DDFC8F5">
            <w:pPr>
              <w:jc w:val="cente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营业总收入</w:t>
            </w:r>
          </w:p>
        </w:tc>
        <w:tc>
          <w:tcPr>
            <w:tcW w:w="4605" w:type="dxa"/>
            <w:vAlign w:val="center"/>
          </w:tcPr>
          <w:p w14:paraId="7E3A49D7">
            <w:pPr>
              <w:jc w:val="cente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77,532.31</w:t>
            </w:r>
          </w:p>
        </w:tc>
      </w:tr>
      <w:tr w14:paraId="29DF9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0" w:type="dxa"/>
          </w:tcPr>
          <w:p w14:paraId="4606EC08">
            <w:pPr>
              <w:jc w:val="cente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营业总成本</w:t>
            </w:r>
          </w:p>
        </w:tc>
        <w:tc>
          <w:tcPr>
            <w:tcW w:w="4605" w:type="dxa"/>
            <w:vAlign w:val="center"/>
          </w:tcPr>
          <w:p w14:paraId="7B611F8C">
            <w:pPr>
              <w:jc w:val="cente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70,937.03</w:t>
            </w:r>
          </w:p>
        </w:tc>
      </w:tr>
      <w:tr w14:paraId="6CEC9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0" w:type="dxa"/>
          </w:tcPr>
          <w:p w14:paraId="79BD6D66">
            <w:pPr>
              <w:jc w:val="cente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利润总额</w:t>
            </w:r>
          </w:p>
        </w:tc>
        <w:tc>
          <w:tcPr>
            <w:tcW w:w="4605" w:type="dxa"/>
            <w:vAlign w:val="center"/>
          </w:tcPr>
          <w:p w14:paraId="32FD47C5">
            <w:pPr>
              <w:jc w:val="cente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7,386.54</w:t>
            </w:r>
          </w:p>
        </w:tc>
      </w:tr>
      <w:tr w14:paraId="3BEA8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0" w:type="dxa"/>
          </w:tcPr>
          <w:p w14:paraId="57F6F4E2">
            <w:pPr>
              <w:jc w:val="cente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净利润</w:t>
            </w:r>
          </w:p>
        </w:tc>
        <w:tc>
          <w:tcPr>
            <w:tcW w:w="4605" w:type="dxa"/>
            <w:vAlign w:val="center"/>
          </w:tcPr>
          <w:p w14:paraId="4C2DDD90">
            <w:pPr>
              <w:jc w:val="cente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4,925.58</w:t>
            </w:r>
          </w:p>
        </w:tc>
      </w:tr>
      <w:tr w14:paraId="04A2E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0" w:type="dxa"/>
          </w:tcPr>
          <w:p w14:paraId="260FCBE8">
            <w:pPr>
              <w:jc w:val="cente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资产总额</w:t>
            </w:r>
          </w:p>
        </w:tc>
        <w:tc>
          <w:tcPr>
            <w:tcW w:w="4605" w:type="dxa"/>
            <w:vAlign w:val="center"/>
          </w:tcPr>
          <w:p w14:paraId="60E52BEB">
            <w:pPr>
              <w:jc w:val="cente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471,342.53</w:t>
            </w:r>
          </w:p>
        </w:tc>
      </w:tr>
      <w:tr w14:paraId="4DD53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0" w:type="dxa"/>
          </w:tcPr>
          <w:p w14:paraId="784139B1">
            <w:pPr>
              <w:jc w:val="cente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负债总额</w:t>
            </w:r>
          </w:p>
        </w:tc>
        <w:tc>
          <w:tcPr>
            <w:tcW w:w="4605" w:type="dxa"/>
            <w:vAlign w:val="center"/>
          </w:tcPr>
          <w:p w14:paraId="1CE09CD3">
            <w:pPr>
              <w:jc w:val="cente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344,574.78</w:t>
            </w:r>
          </w:p>
        </w:tc>
      </w:tr>
      <w:tr w14:paraId="2BCD2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0" w:type="dxa"/>
          </w:tcPr>
          <w:p w14:paraId="254CEF07">
            <w:pPr>
              <w:jc w:val="cente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所有者权益</w:t>
            </w:r>
          </w:p>
        </w:tc>
        <w:tc>
          <w:tcPr>
            <w:tcW w:w="4605" w:type="dxa"/>
            <w:vAlign w:val="center"/>
          </w:tcPr>
          <w:p w14:paraId="3290423D">
            <w:pPr>
              <w:jc w:val="cente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126,767.75</w:t>
            </w:r>
          </w:p>
        </w:tc>
      </w:tr>
    </w:tbl>
    <w:p w14:paraId="2D689FA1">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三、财务预算执行情况</w:t>
      </w:r>
    </w:p>
    <w:p w14:paraId="550AC64A">
      <w:pPr>
        <w:snapToGrid w:val="0"/>
        <w:spacing w:line="580" w:lineRule="exact"/>
        <w:ind w:firstLine="643" w:firstLineChars="200"/>
        <w:rPr>
          <w:rFonts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1.营</w:t>
      </w:r>
      <w:r>
        <w:rPr>
          <w:rFonts w:hint="eastAsia" w:ascii="方正仿宋简体" w:hAnsi="方正仿宋简体" w:eastAsia="方正仿宋简体" w:cs="方正仿宋简体"/>
          <w:b/>
          <w:bCs/>
          <w:sz w:val="32"/>
          <w:szCs w:val="32"/>
        </w:rPr>
        <w:t>业收入：本年预算</w:t>
      </w:r>
      <w:r>
        <w:rPr>
          <w:rFonts w:hint="default" w:ascii="Times New Roman" w:hAnsi="Times New Roman" w:eastAsia="方正仿宋简体" w:cs="Times New Roman"/>
          <w:b/>
          <w:bCs/>
          <w:sz w:val="32"/>
          <w:szCs w:val="32"/>
          <w:lang w:val="en-US" w:eastAsia="zh-CN"/>
        </w:rPr>
        <w:t>76,812.14</w:t>
      </w:r>
      <w:r>
        <w:rPr>
          <w:rFonts w:hint="eastAsia" w:ascii="方正仿宋简体" w:hAnsi="方正仿宋简体" w:eastAsia="方正仿宋简体" w:cs="方正仿宋简体"/>
          <w:b/>
          <w:bCs/>
          <w:sz w:val="32"/>
          <w:szCs w:val="32"/>
        </w:rPr>
        <w:t>万元，截至到</w:t>
      </w:r>
      <w:r>
        <w:rPr>
          <w:rFonts w:hint="eastAsia" w:ascii="Times New Roman" w:hAnsi="Times New Roman" w:eastAsia="方正仿宋简体" w:cs="Times New Roman"/>
          <w:b/>
          <w:bCs/>
          <w:sz w:val="32"/>
          <w:szCs w:val="32"/>
          <w:lang w:val="en-US" w:eastAsia="zh-CN"/>
        </w:rPr>
        <w:t>2023年12月31日，完成100.94%。</w:t>
      </w:r>
    </w:p>
    <w:p w14:paraId="0CE2D356">
      <w:pPr>
        <w:snapToGrid w:val="0"/>
        <w:spacing w:line="580" w:lineRule="exact"/>
        <w:ind w:firstLine="643" w:firstLineChars="200"/>
        <w:rPr>
          <w:rFonts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2.利润总额：本年预算8460.00万元，截至到20</w:t>
      </w:r>
      <w:bookmarkStart w:id="0" w:name="_GoBack"/>
      <w:bookmarkEnd w:id="0"/>
      <w:r>
        <w:rPr>
          <w:rFonts w:hint="eastAsia" w:ascii="Times New Roman" w:hAnsi="Times New Roman" w:eastAsia="方正仿宋简体" w:cs="Times New Roman"/>
          <w:b/>
          <w:bCs/>
          <w:sz w:val="32"/>
          <w:szCs w:val="32"/>
          <w:lang w:val="en-US" w:eastAsia="zh-CN"/>
        </w:rPr>
        <w:t>23年12月31日，完成87.31%</w:t>
      </w:r>
      <w:r>
        <w:rPr>
          <w:rFonts w:hint="eastAsia" w:ascii="方正仿宋简体" w:hAnsi="方正仿宋简体" w:eastAsia="方正仿宋简体" w:cs="方正仿宋简体"/>
          <w:b/>
          <w:bCs/>
          <w:sz w:val="32"/>
          <w:szCs w:val="32"/>
        </w:rPr>
        <w:t>。</w:t>
      </w:r>
    </w:p>
    <w:p w14:paraId="3D2C565E">
      <w:pPr>
        <w:snapToGrid w:val="0"/>
        <w:spacing w:line="580" w:lineRule="exact"/>
        <w:ind w:firstLine="643" w:firstLineChars="200"/>
        <w:rPr>
          <w:rFonts w:hint="eastAsia" w:ascii="方正仿宋简体" w:hAnsi="方正仿宋简体" w:eastAsia="方正仿宋简体" w:cs="方正仿宋简体"/>
          <w:b/>
          <w:bCs/>
          <w:sz w:val="32"/>
          <w:szCs w:val="32"/>
          <w:lang w:val="en-US" w:eastAsia="zh-CN"/>
        </w:rPr>
      </w:pPr>
    </w:p>
    <w:sectPr>
      <w:pgSz w:w="11906" w:h="16838"/>
      <w:pgMar w:top="2098" w:right="1474" w:bottom="158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13CC2444"/>
    <w:rsid w:val="001410B8"/>
    <w:rsid w:val="00332EF0"/>
    <w:rsid w:val="003F77BE"/>
    <w:rsid w:val="007E3428"/>
    <w:rsid w:val="007E5379"/>
    <w:rsid w:val="00AC6AB4"/>
    <w:rsid w:val="00BC3130"/>
    <w:rsid w:val="00C455E3"/>
    <w:rsid w:val="00C65B77"/>
    <w:rsid w:val="00D321DA"/>
    <w:rsid w:val="00EA422D"/>
    <w:rsid w:val="00FC157F"/>
    <w:rsid w:val="06DF3B7E"/>
    <w:rsid w:val="09EC724C"/>
    <w:rsid w:val="0D6D5D2C"/>
    <w:rsid w:val="0EEB1532"/>
    <w:rsid w:val="103E05DD"/>
    <w:rsid w:val="13CC2444"/>
    <w:rsid w:val="180477A4"/>
    <w:rsid w:val="19560A59"/>
    <w:rsid w:val="1C496371"/>
    <w:rsid w:val="24BA1541"/>
    <w:rsid w:val="29D47C5C"/>
    <w:rsid w:val="2A4822AF"/>
    <w:rsid w:val="2D9F5C7A"/>
    <w:rsid w:val="33A670F3"/>
    <w:rsid w:val="3D1864DC"/>
    <w:rsid w:val="3D415E7C"/>
    <w:rsid w:val="40E1715D"/>
    <w:rsid w:val="419C0824"/>
    <w:rsid w:val="44244964"/>
    <w:rsid w:val="4F7E4D53"/>
    <w:rsid w:val="55BE43CC"/>
    <w:rsid w:val="55C8560A"/>
    <w:rsid w:val="57404164"/>
    <w:rsid w:val="5C83014D"/>
    <w:rsid w:val="5E145AF2"/>
    <w:rsid w:val="5F372BCB"/>
    <w:rsid w:val="5F412942"/>
    <w:rsid w:val="60785E58"/>
    <w:rsid w:val="678437B5"/>
    <w:rsid w:val="70C1078D"/>
    <w:rsid w:val="7451111C"/>
    <w:rsid w:val="75D26FF0"/>
    <w:rsid w:val="775A30EF"/>
    <w:rsid w:val="7FC25A17"/>
    <w:rsid w:val="7FC82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642</Words>
  <Characters>764</Characters>
  <Lines>5</Lines>
  <Paragraphs>1</Paragraphs>
  <TotalTime>8</TotalTime>
  <ScaleCrop>false</ScaleCrop>
  <LinksUpToDate>false</LinksUpToDate>
  <CharactersWithSpaces>773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2022-06-30T02:09:00Z</dcterms:created>
  <dc:creator>Mr.X</dc:creator>
  <cp:lastModifiedBy>Administrator</cp:lastModifiedBy>
  <dcterms:modified xsi:type="dcterms:W3CDTF">2024-06-28T14:14:45Z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E7F530869AFA4404BB6C12822E16A638_13</vt:lpwstr>
  </property>
</Properties>
</file>