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8FEDB9"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汶上县泉河污水处理有限公司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 xml:space="preserve"> </w:t>
      </w:r>
    </w:p>
    <w:p w14:paraId="2CFA42DB">
      <w:pPr>
        <w:snapToGrid w:val="0"/>
        <w:spacing w:line="640" w:lineRule="exact"/>
        <w:jc w:val="center"/>
        <w:rPr>
          <w:rFonts w:hint="eastAsia" w:ascii="宋体" w:hAnsi="宋体" w:eastAsia="方正小标宋简体" w:cs="宋体"/>
          <w:sz w:val="2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年度财务重大信息公开</w:t>
      </w:r>
    </w:p>
    <w:p w14:paraId="510FD7C2"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 w14:paraId="6FFBEE7E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 w14:paraId="671733C0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公司名称：汶上县泉河污水处理有限公司</w:t>
      </w:r>
    </w:p>
    <w:p w14:paraId="5EE3F10D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法定代表人：王晓静</w:t>
      </w:r>
    </w:p>
    <w:p w14:paraId="2A5BD006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注册地址：汶上县郭仓镇政府南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3000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米</w:t>
      </w:r>
    </w:p>
    <w:p w14:paraId="33CD2B87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经营范围：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水污染治理。(依法须经批准的项目,经相关部门批准后方可开展经营活动)</w:t>
      </w:r>
    </w:p>
    <w:p w14:paraId="7C6E1BB9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公司简介: 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汶上县泉河污水处理厂位于郭仓镇美化村东、北园大街以南，占地面积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58.947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亩。建设规模为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万m/d，配套污水管网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68.23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公里。主要收集处理汶上县城尚书路以北的城市污水和郭仓镇镇区的污水。该工程采用“调节池+A20+二沉+磁混凝沉淀+过滤+消毒”工艺，出水水质达到类V类地表水水质，总投资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2.4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亿万元，(污水处理厂工程投资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1.54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亿元，配套管网工程投资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0.86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亿元)目前，出水水质达到《城镇污水处理厂污染物排放标准》(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GB18918-2002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)一级A标准后排入人工湿地作进一步净化。下游人工湿地：人工湿地水质净化项目总投资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3664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万元，分为潜流湿地与表流湿地，利用污水厂厂内闲置地约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7.7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亩作为潜流湿地用地;表流湿地是利用小汶河美化村至南周村河段长约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5.47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公里(面积约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465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亩)作为表流湿地建设。其中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4000m3/d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出厂水经潜流湿地处理后以中水形式用作农田灌溉及道路喷酒，多余水与其它污水厂一并汇入表流湿进行深度净化，采用分级串联形式运行，净化后水质可达到《地表水环境质量标准》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(GB2038-2002)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类标准后汇入小汶河。</w:t>
      </w:r>
    </w:p>
    <w:p w14:paraId="35FF564D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</w:t>
      </w:r>
      <w:r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</w:rPr>
        <w:t>（截至到202</w:t>
      </w:r>
      <w:r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  <w:lang w:val="en-US" w:eastAsia="zh-CN"/>
        </w:rPr>
        <w:t>3</w:t>
      </w:r>
      <w:r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</w:rPr>
        <w:t>年</w:t>
      </w:r>
      <w:r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  <w:lang w:val="en-US" w:eastAsia="zh-CN"/>
        </w:rPr>
        <w:t>12</w:t>
      </w:r>
      <w:r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</w:rPr>
        <w:t>月</w:t>
      </w:r>
      <w:r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  <w:lang w:val="en-US" w:eastAsia="zh-CN"/>
        </w:rPr>
        <w:t>31</w:t>
      </w:r>
      <w:r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</w:rPr>
        <w:t>日）</w:t>
      </w:r>
    </w:p>
    <w:p w14:paraId="17203741">
      <w:pPr>
        <w:ind w:firstLine="6720" w:firstLineChars="21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eastAsia="zh-CN"/>
        </w:rPr>
        <w:t>单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位： 万元</w:t>
      </w:r>
    </w:p>
    <w:tbl>
      <w:tblPr>
        <w:tblStyle w:val="3"/>
        <w:tblW w:w="0" w:type="auto"/>
        <w:tblInd w:w="3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25"/>
        <w:gridCol w:w="4425"/>
      </w:tblGrid>
      <w:tr w14:paraId="182B6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125" w:type="dxa"/>
          </w:tcPr>
          <w:p w14:paraId="7D7C84F5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营业总收入</w:t>
            </w:r>
          </w:p>
        </w:tc>
        <w:tc>
          <w:tcPr>
            <w:tcW w:w="4425" w:type="dxa"/>
          </w:tcPr>
          <w:p w14:paraId="071BD4AB">
            <w:pPr>
              <w:jc w:val="center"/>
              <w:rPr>
                <w:rFonts w:hint="default" w:ascii="方正黑体简体" w:hAnsi="方正黑体简体" w:eastAsia="方正黑体简体" w:cs="方正黑体简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  <w:t>1404</w:t>
            </w:r>
          </w:p>
        </w:tc>
      </w:tr>
      <w:tr w14:paraId="561BA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5" w:type="dxa"/>
          </w:tcPr>
          <w:p w14:paraId="230B9CC8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营业总成本</w:t>
            </w:r>
          </w:p>
        </w:tc>
        <w:tc>
          <w:tcPr>
            <w:tcW w:w="4425" w:type="dxa"/>
          </w:tcPr>
          <w:p w14:paraId="36A477DF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  <w:t>1302</w:t>
            </w:r>
          </w:p>
        </w:tc>
      </w:tr>
      <w:tr w14:paraId="74421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5" w:type="dxa"/>
          </w:tcPr>
          <w:p w14:paraId="05B76DB9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利润总额</w:t>
            </w:r>
          </w:p>
        </w:tc>
        <w:tc>
          <w:tcPr>
            <w:tcW w:w="4425" w:type="dxa"/>
          </w:tcPr>
          <w:p w14:paraId="4F42383C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  <w:t>99</w:t>
            </w:r>
          </w:p>
        </w:tc>
      </w:tr>
      <w:tr w14:paraId="66465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5" w:type="dxa"/>
          </w:tcPr>
          <w:p w14:paraId="7E8F1072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净利润</w:t>
            </w:r>
          </w:p>
        </w:tc>
        <w:tc>
          <w:tcPr>
            <w:tcW w:w="4425" w:type="dxa"/>
          </w:tcPr>
          <w:p w14:paraId="5C295549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  <w:t>99</w:t>
            </w:r>
          </w:p>
        </w:tc>
      </w:tr>
      <w:tr w14:paraId="19DDC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5" w:type="dxa"/>
          </w:tcPr>
          <w:p w14:paraId="35D95954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资产总额</w:t>
            </w:r>
          </w:p>
        </w:tc>
        <w:tc>
          <w:tcPr>
            <w:tcW w:w="4425" w:type="dxa"/>
          </w:tcPr>
          <w:p w14:paraId="0B2F6AAB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  <w:t>14505</w:t>
            </w:r>
          </w:p>
        </w:tc>
      </w:tr>
      <w:tr w14:paraId="713C9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5" w:type="dxa"/>
          </w:tcPr>
          <w:p w14:paraId="55974EF5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负债总额</w:t>
            </w:r>
          </w:p>
        </w:tc>
        <w:tc>
          <w:tcPr>
            <w:tcW w:w="4425" w:type="dxa"/>
          </w:tcPr>
          <w:p w14:paraId="049CF709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  <w:t>12471</w:t>
            </w:r>
          </w:p>
        </w:tc>
      </w:tr>
      <w:tr w14:paraId="5F20A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5" w:type="dxa"/>
          </w:tcPr>
          <w:p w14:paraId="45D8D886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所有者权益</w:t>
            </w:r>
          </w:p>
        </w:tc>
        <w:tc>
          <w:tcPr>
            <w:tcW w:w="4425" w:type="dxa"/>
          </w:tcPr>
          <w:p w14:paraId="1881FAF8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  <w:t>2035</w:t>
            </w:r>
          </w:p>
        </w:tc>
      </w:tr>
    </w:tbl>
    <w:p w14:paraId="6DDD08C9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三、财务预算执行情况</w:t>
      </w:r>
    </w:p>
    <w:p w14:paraId="3949E3EF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黑体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营业收入：本年预算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1220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万元，截至到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2023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12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31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日，完成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115%%</w:t>
      </w:r>
      <w:r>
        <w:rPr>
          <w:rFonts w:hint="eastAsia" w:ascii="Times New Roman" w:hAnsi="Times New Roman" w:eastAsia="方正黑体简体" w:cs="Times New Roman"/>
          <w:sz w:val="32"/>
          <w:szCs w:val="32"/>
          <w:lang w:val="en-US" w:eastAsia="zh-CN"/>
        </w:rPr>
        <w:t>。</w:t>
      </w:r>
    </w:p>
    <w:p w14:paraId="11C7E7A5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黑体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利润总额：本年预算</w:t>
      </w:r>
      <w:r>
        <w:rPr>
          <w:rFonts w:hint="eastAsia" w:ascii="Times New Roman" w:hAnsi="Times New Roman" w:eastAsia="方正黑体简体" w:cs="Times New Roman"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376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万元，截至到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2023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12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31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日</w:t>
      </w:r>
      <w:r>
        <w:rPr>
          <w:rFonts w:hint="eastAsia" w:ascii="Times New Roman" w:hAnsi="Times New Roman" w:eastAsia="方正黑体简体" w:cs="Times New Roman"/>
          <w:sz w:val="32"/>
          <w:szCs w:val="32"/>
          <w:lang w:val="en-US" w:eastAsia="zh-CN"/>
        </w:rPr>
        <w:t>，完成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226%。</w:t>
      </w:r>
    </w:p>
    <w:p w14:paraId="73DDB3FE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</w:p>
    <w:p w14:paraId="0D5B2A6D"/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352F40BF"/>
    <w:rsid w:val="04387240"/>
    <w:rsid w:val="1CFC0942"/>
    <w:rsid w:val="208C594C"/>
    <w:rsid w:val="352F40BF"/>
    <w:rsid w:val="56F13B2B"/>
    <w:rsid w:val="580B6E7B"/>
    <w:rsid w:val="673E432F"/>
    <w:rsid w:val="7F651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654</Words>
  <Characters>779</Characters>
  <Lines>0</Lines>
  <Paragraphs>0</Paragraphs>
  <TotalTime>4</TotalTime>
  <ScaleCrop>false</ScaleCrop>
  <LinksUpToDate>false</LinksUpToDate>
  <CharactersWithSpaces>784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2024-06-28T01:44:00Z</dcterms:created>
  <dc:creator>汶上水务运营部</dc:creator>
  <cp:lastModifiedBy>Administrator</cp:lastModifiedBy>
  <dcterms:modified xsi:type="dcterms:W3CDTF">2024-06-28T15:00:36Z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6A5CF3E6A4A54157A7194449C418FB3F_13</vt:lpwstr>
  </property>
</Properties>
</file>