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B4E466">
      <w:pPr>
        <w:pStyle w:val="4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</w:p>
    <w:p w14:paraId="1CFE507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8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</w:p>
    <w:p w14:paraId="43B7815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8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8"/>
          <w:szCs w:val="48"/>
        </w:rPr>
      </w:pPr>
      <w:r>
        <w:rPr>
          <w:rFonts w:hint="default" w:ascii="Times New Roman" w:hAnsi="Times New Roman" w:eastAsia="方正小标宋简体" w:cs="Times New Roman"/>
          <w:b/>
          <w:bCs/>
          <w:sz w:val="48"/>
          <w:szCs w:val="48"/>
        </w:rPr>
        <w:t>山东公用控股有限公司</w:t>
      </w:r>
    </w:p>
    <w:p w14:paraId="462093E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800" w:lineRule="exact"/>
        <w:jc w:val="center"/>
        <w:textAlignment w:val="auto"/>
        <w:rPr>
          <w:rFonts w:hint="eastAsia" w:ascii="Times New Roman" w:hAnsi="Times New Roman" w:eastAsia="方正小标宋简体" w:cs="Times New Roman"/>
          <w:b/>
          <w:bCs/>
          <w:sz w:val="48"/>
          <w:szCs w:val="48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8"/>
          <w:szCs w:val="48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8"/>
          <w:szCs w:val="48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sz w:val="48"/>
          <w:szCs w:val="48"/>
          <w:lang w:val="en-US" w:eastAsia="zh-CN"/>
        </w:rPr>
        <w:t>年度</w:t>
      </w:r>
      <w:r>
        <w:rPr>
          <w:rFonts w:hint="default" w:ascii="Times New Roman" w:hAnsi="Times New Roman" w:eastAsia="方正小标宋简体" w:cs="Times New Roman"/>
          <w:b/>
          <w:bCs/>
          <w:sz w:val="48"/>
          <w:szCs w:val="48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8"/>
          <w:szCs w:val="48"/>
          <w:lang w:val="en-US" w:eastAsia="zh-CN"/>
        </w:rPr>
        <w:t>开</w:t>
      </w:r>
      <w:bookmarkStart w:id="0" w:name="_GoBack"/>
      <w:bookmarkEnd w:id="0"/>
    </w:p>
    <w:p w14:paraId="5756EFE7">
      <w:pPr>
        <w:pStyle w:val="4"/>
        <w:spacing w:line="600" w:lineRule="exact"/>
        <w:ind w:firstLine="640" w:firstLineChars="200"/>
        <w:jc w:val="both"/>
        <w:rPr>
          <w:rFonts w:ascii="方正黑体简体" w:hAnsi="方正黑体简体" w:eastAsia="方正黑体简体" w:cs="方正黑体简体"/>
          <w:lang w:val="en-US"/>
        </w:rPr>
      </w:pPr>
    </w:p>
    <w:p w14:paraId="62313EF1">
      <w:pPr>
        <w:pStyle w:val="4"/>
        <w:spacing w:line="600" w:lineRule="exact"/>
        <w:ind w:firstLine="640" w:firstLineChars="200"/>
        <w:jc w:val="both"/>
        <w:rPr>
          <w:rFonts w:ascii="方正黑体简体" w:hAnsi="方正黑体简体" w:eastAsia="方正黑体简体" w:cs="方正黑体简体"/>
          <w:lang w:val="en-US"/>
        </w:rPr>
      </w:pPr>
    </w:p>
    <w:p w14:paraId="16D0A1D9">
      <w:pPr>
        <w:pStyle w:val="3"/>
        <w:spacing w:before="1" w:line="254" w:lineRule="auto"/>
        <w:ind w:left="400" w:right="459" w:firstLine="600"/>
        <w:rPr>
          <w:rFonts w:hint="eastAsia" w:ascii="方正仿宋简体" w:hAnsi="方正仿宋简体" w:eastAsia="方正仿宋简体" w:cs="方正仿宋简体"/>
        </w:rPr>
      </w:pPr>
    </w:p>
    <w:p w14:paraId="4FC5E10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ind w:left="403" w:right="459" w:firstLine="601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本公司保证本公告内容不存在任何虚假</w:t>
      </w:r>
      <w:r>
        <w:rPr>
          <w:rFonts w:hint="eastAsia" w:ascii="方正仿宋简体" w:hAnsi="方正仿宋简体" w:eastAsia="方正仿宋简体" w:cs="方正仿宋简体"/>
          <w:spacing w:val="-12"/>
          <w:sz w:val="32"/>
          <w:szCs w:val="32"/>
        </w:rPr>
        <w:t>记载</w:t>
      </w:r>
      <w:r>
        <w:rPr>
          <w:rFonts w:hint="eastAsia" w:ascii="方正仿宋简体" w:hAnsi="方正仿宋简体" w:eastAsia="方正仿宋简体" w:cs="方正仿宋简体"/>
          <w:spacing w:val="-12"/>
          <w:sz w:val="32"/>
          <w:szCs w:val="32"/>
          <w:lang w:eastAsia="zh-CN"/>
        </w:rPr>
        <w:t>、</w:t>
      </w:r>
      <w:r>
        <w:rPr>
          <w:rFonts w:hint="eastAsia" w:ascii="方正仿宋简体" w:hAnsi="方正仿宋简体" w:eastAsia="方正仿宋简体" w:cs="方正仿宋简体"/>
          <w:spacing w:val="-12"/>
          <w:sz w:val="32"/>
          <w:szCs w:val="32"/>
        </w:rPr>
        <w:t>误导性陈述或者重大遗漏</w:t>
      </w:r>
      <w:r>
        <w:rPr>
          <w:rFonts w:hint="eastAsia" w:ascii="方正仿宋简体" w:hAnsi="方正仿宋简体" w:eastAsia="方正仿宋简体" w:cs="方正仿宋简体"/>
          <w:spacing w:val="-12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pacing w:val="-12"/>
          <w:sz w:val="32"/>
          <w:szCs w:val="32"/>
        </w:rPr>
        <w:t>并对其内容的真实性</w:t>
      </w:r>
      <w:r>
        <w:rPr>
          <w:rFonts w:hint="eastAsia" w:ascii="方正仿宋简体" w:hAnsi="方正仿宋简体" w:eastAsia="方正仿宋简体" w:cs="方正仿宋简体"/>
          <w:spacing w:val="-12"/>
          <w:sz w:val="32"/>
          <w:szCs w:val="32"/>
          <w:lang w:eastAsia="zh-CN"/>
        </w:rPr>
        <w:t>、</w:t>
      </w:r>
      <w:r>
        <w:rPr>
          <w:rFonts w:hint="eastAsia" w:ascii="方正仿宋简体" w:hAnsi="方正仿宋简体" w:eastAsia="方正仿宋简体" w:cs="方正仿宋简体"/>
          <w:spacing w:val="-12"/>
          <w:sz w:val="32"/>
          <w:szCs w:val="32"/>
        </w:rPr>
        <w:t>准确性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和完整性承担个别及连带责任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。</w:t>
      </w:r>
    </w:p>
    <w:p w14:paraId="7A9FE786">
      <w:pPr>
        <w:pStyle w:val="4"/>
        <w:spacing w:line="600" w:lineRule="exact"/>
        <w:ind w:firstLine="640" w:firstLineChars="200"/>
        <w:jc w:val="both"/>
        <w:rPr>
          <w:rFonts w:ascii="方正黑体简体" w:hAnsi="方正黑体简体" w:eastAsia="方正黑体简体" w:cs="方正黑体简体"/>
          <w:lang w:val="en-US"/>
        </w:rPr>
      </w:pPr>
    </w:p>
    <w:p w14:paraId="573A5871">
      <w:pPr>
        <w:pStyle w:val="4"/>
        <w:spacing w:line="600" w:lineRule="exact"/>
        <w:ind w:firstLine="640" w:firstLineChars="200"/>
        <w:jc w:val="both"/>
        <w:rPr>
          <w:rFonts w:ascii="方正黑体简体" w:hAnsi="方正黑体简体" w:eastAsia="方正黑体简体" w:cs="方正黑体简体"/>
          <w:lang w:val="en-US"/>
        </w:rPr>
      </w:pPr>
    </w:p>
    <w:p w14:paraId="6AA56E20">
      <w:pPr>
        <w:pStyle w:val="4"/>
        <w:spacing w:line="600" w:lineRule="exact"/>
        <w:ind w:firstLine="640" w:firstLineChars="200"/>
        <w:jc w:val="both"/>
        <w:rPr>
          <w:rFonts w:ascii="方正黑体简体" w:hAnsi="方正黑体简体" w:eastAsia="方正黑体简体" w:cs="方正黑体简体"/>
          <w:lang w:val="en-US"/>
        </w:rPr>
      </w:pPr>
    </w:p>
    <w:p w14:paraId="7D4F500B">
      <w:pPr>
        <w:pStyle w:val="4"/>
        <w:spacing w:line="600" w:lineRule="exact"/>
        <w:ind w:firstLine="640" w:firstLineChars="200"/>
        <w:jc w:val="both"/>
        <w:rPr>
          <w:rFonts w:ascii="方正黑体简体" w:hAnsi="方正黑体简体" w:eastAsia="方正黑体简体" w:cs="方正黑体简体"/>
          <w:lang w:val="en-US"/>
        </w:rPr>
      </w:pPr>
    </w:p>
    <w:p w14:paraId="2B646068">
      <w:pPr>
        <w:pStyle w:val="4"/>
        <w:spacing w:line="600" w:lineRule="exact"/>
        <w:ind w:firstLine="640" w:firstLineChars="200"/>
        <w:jc w:val="both"/>
        <w:rPr>
          <w:rFonts w:ascii="方正黑体简体" w:hAnsi="方正黑体简体" w:eastAsia="方正黑体简体" w:cs="方正黑体简体"/>
          <w:lang w:val="en-US"/>
        </w:rPr>
      </w:pPr>
    </w:p>
    <w:p w14:paraId="4B8B3131">
      <w:pPr>
        <w:pStyle w:val="4"/>
        <w:spacing w:line="600" w:lineRule="exact"/>
        <w:ind w:firstLine="640" w:firstLineChars="200"/>
        <w:jc w:val="both"/>
        <w:rPr>
          <w:rFonts w:ascii="方正黑体简体" w:hAnsi="方正黑体简体" w:eastAsia="方正黑体简体" w:cs="方正黑体简体"/>
          <w:lang w:val="en-US"/>
        </w:rPr>
      </w:pPr>
    </w:p>
    <w:p w14:paraId="6A9D7B6A">
      <w:pPr>
        <w:pStyle w:val="4"/>
        <w:spacing w:line="600" w:lineRule="exact"/>
        <w:ind w:firstLine="640" w:firstLineChars="200"/>
        <w:jc w:val="both"/>
        <w:rPr>
          <w:rFonts w:ascii="方正黑体简体" w:hAnsi="方正黑体简体" w:eastAsia="方正黑体简体" w:cs="方正黑体简体"/>
          <w:lang w:val="en-US"/>
        </w:rPr>
      </w:pPr>
    </w:p>
    <w:p w14:paraId="67C67327">
      <w:pPr>
        <w:pStyle w:val="4"/>
        <w:spacing w:line="600" w:lineRule="exact"/>
        <w:ind w:firstLine="640" w:firstLineChars="200"/>
        <w:jc w:val="both"/>
        <w:rPr>
          <w:rFonts w:hint="default" w:ascii="方正黑体简体" w:hAnsi="方正黑体简体" w:eastAsia="方正黑体简体" w:cs="方正黑体简体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lang w:val="en-US" w:eastAsia="zh-CN"/>
        </w:rPr>
        <w:t xml:space="preserve">        </w:t>
      </w:r>
    </w:p>
    <w:p w14:paraId="5406E5E1">
      <w:pPr>
        <w:pStyle w:val="4"/>
        <w:spacing w:line="600" w:lineRule="exact"/>
        <w:jc w:val="center"/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楷体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 w:eastAsia="zh-CN"/>
        </w:rPr>
        <w:t>年6月30日</w:t>
      </w:r>
    </w:p>
    <w:p w14:paraId="4D58376E">
      <w:pPr>
        <w:pStyle w:val="4"/>
        <w:spacing w:line="600" w:lineRule="exact"/>
        <w:ind w:firstLine="640" w:firstLineChars="200"/>
        <w:jc w:val="both"/>
        <w:rPr>
          <w:rFonts w:ascii="方正黑体简体" w:hAnsi="方正黑体简体" w:eastAsia="方正黑体简体" w:cs="方正黑体简体"/>
          <w:lang w:val="en-US"/>
        </w:rPr>
      </w:pPr>
    </w:p>
    <w:p w14:paraId="2EB00055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4527DC6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37FB68D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称：山东公用控股有限公司</w:t>
      </w:r>
    </w:p>
    <w:p w14:paraId="210BAA4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2.企业类型：有限责任公司（国有独资）</w:t>
      </w:r>
    </w:p>
    <w:p w14:paraId="075E02B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3.成立日期：1993-06-27</w:t>
      </w:r>
    </w:p>
    <w:p w14:paraId="0672E80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4.法定代表人：李鲁</w:t>
      </w:r>
    </w:p>
    <w:p w14:paraId="61E87E8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5.注册地址：济宁市红星中路23号</w:t>
      </w:r>
    </w:p>
    <w:p w14:paraId="2A2FD1F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</w:p>
    <w:p w14:paraId="4288BB8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638" w:leftChars="290" w:firstLine="0" w:firstLineChars="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许可项目：自来水生产与供应；污水处理及其再生利用；热</w:t>
      </w:r>
    </w:p>
    <w:p w14:paraId="18FE794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力生产和供应；建设工程施工；建设工程设计；水利工程建设监理；证券投资咨询；房地产开发经营；发电业务、输电业务、供（配）电业务；饮料生产。（依法须经批准的项目，经相关部门批准后方可开展经营活动，具体经营</w:t>
      </w:r>
      <w:r>
        <w:rPr>
          <w:rFonts w:hint="eastAsia" w:ascii="方正仿宋简体" w:hAnsi="方正仿宋简体" w:eastAsia="方正仿宋简体" w:cs="方正仿宋简体"/>
          <w:b/>
          <w:bCs/>
          <w:lang w:val="en-US"/>
        </w:rPr>
        <w:t>项目以相关部门批准文件或许可证件为准）</w:t>
      </w:r>
    </w:p>
    <w:p w14:paraId="7CA8BD5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仿宋简体" w:hAnsi="方正仿宋简体" w:eastAsia="方正仿宋简体" w:cs="方正仿宋简体"/>
          <w:b/>
          <w:bCs/>
          <w:lang w:val="en-US"/>
        </w:rPr>
      </w:pPr>
      <w:r>
        <w:rPr>
          <w:rFonts w:hint="eastAsia" w:ascii="方正仿宋简体" w:hAnsi="方正仿宋简体" w:eastAsia="方正仿宋简体" w:cs="方正仿宋简体"/>
          <w:b/>
          <w:bCs/>
          <w:lang w:val="en-US"/>
        </w:rPr>
        <w:t>一般项目：水污染治理；水资源管理；创业投资（限投资未上市企业）；企业管理咨询；市场营销策划；私募股权投资基金管理、创业投资基金管理服务（须在中国证券投资基金业协会完成登记备案后方可从事经营活动）；销售代理；市政设施管理；财务咨询；储能技术服务；新能源原动设备销售；非居住房地产租赁；会议及展览服务；发电机及发电机组销售；工程管理服务；商业综合体管理服务；技术服务、技术开发、技术咨询、技术交流、技术转让、技术推广；专用化学产品销售（不含危险化学品）；煤炭及制品销售；五金产品批发；有色金属合金销售；建筑材料销售；合成材料销售；砼结构构件销售；建筑装饰材料销售；生态环境材料销售。（除依法须经批准的项目外，凭营业执照依法自主开展经营活动）</w:t>
      </w:r>
    </w:p>
    <w:p w14:paraId="2003EB6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128E984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lang w:val="en-US"/>
        </w:rPr>
      </w:pPr>
      <w:r>
        <w:rPr>
          <w:rFonts w:ascii="Times New Roman" w:hAnsi="Times New Roman" w:eastAsia="方正仿宋简体" w:cs="Times New Roman"/>
          <w:b/>
          <w:lang w:val="en-US"/>
        </w:rPr>
        <w:t>山东公用控股有限公司是集城乡水务、热电联产、燃气供应、环保科技、环境卫生、建设工程、置业地产、商业运营、金融服务于一体的城乡综合服务商。公司注册资本100亿元，下辖山东公用水务集团有限公司、山东公用热电集团有限公司、山东公用建工集团有限公司、山东公用环保科技集团有限公司、山东公用环卫集团有限公司及济宁中山公用水务有限公司、济宁华润燃气有限公司、济宁华源热电有限公司等参控股子公司，截至202</w:t>
      </w:r>
      <w:r>
        <w:rPr>
          <w:rFonts w:hint="eastAsia" w:ascii="Times New Roman" w:hAnsi="Times New Roman" w:eastAsia="方正仿宋简体" w:cs="Times New Roman"/>
          <w:b/>
          <w:lang w:val="en-US" w:eastAsia="zh-CN"/>
        </w:rPr>
        <w:t>3</w:t>
      </w:r>
      <w:r>
        <w:rPr>
          <w:rFonts w:ascii="Times New Roman" w:hAnsi="Times New Roman" w:eastAsia="方正仿宋简体" w:cs="Times New Roman"/>
          <w:b/>
          <w:lang w:val="en-US"/>
        </w:rPr>
        <w:t>年底，公司资产总额达到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/>
        </w:rPr>
        <w:t>676.8</w:t>
      </w:r>
      <w:r>
        <w:rPr>
          <w:rFonts w:hint="default" w:ascii="Times New Roman" w:hAnsi="Times New Roman" w:eastAsia="方正仿宋简体" w:cs="Times New Roman"/>
          <w:b/>
          <w:color w:val="0D0D0D"/>
          <w:sz w:val="32"/>
          <w:szCs w:val="32"/>
          <w:lang w:val="en-US" w:eastAsia="zh-CN"/>
        </w:rPr>
        <w:t>亿元</w:t>
      </w:r>
      <w:r>
        <w:rPr>
          <w:rFonts w:ascii="Times New Roman" w:hAnsi="Times New Roman" w:eastAsia="方正仿宋简体" w:cs="Times New Roman"/>
          <w:b/>
          <w:lang w:val="en-US"/>
        </w:rPr>
        <w:t>。先后荣获全国文明单位、全国先进职工之家、山东省“攻坚克难奖”、山东省先进基层党组织、山东省五一劳动奖状等荣誉。</w:t>
      </w:r>
    </w:p>
    <w:p w14:paraId="6211FEA1">
      <w:pPr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  <w:lang w:val="en-US" w:eastAsia="zh-CN" w:bidi="zh-CN"/>
        </w:rPr>
      </w:pPr>
      <w:r>
        <w:rPr>
          <w:rFonts w:ascii="Times New Roman" w:hAnsi="Times New Roman" w:eastAsia="方正仿宋简体" w:cs="Times New Roman"/>
          <w:b/>
          <w:sz w:val="32"/>
          <w:szCs w:val="32"/>
          <w:lang w:val="en-US" w:eastAsia="zh-CN" w:bidi="zh-CN"/>
        </w:rPr>
        <w:t>近年来，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 w:bidi="zh-CN"/>
        </w:rPr>
        <w:t>山东公用</w:t>
      </w:r>
      <w:r>
        <w:rPr>
          <w:rFonts w:ascii="Times New Roman" w:hAnsi="Times New Roman" w:eastAsia="方正仿宋简体" w:cs="Times New Roman"/>
          <w:b/>
          <w:sz w:val="32"/>
          <w:szCs w:val="32"/>
          <w:lang w:val="en-US" w:eastAsia="zh-CN" w:bidi="zh-CN"/>
        </w:rPr>
        <w:t>把握深化国企改革的历史机遇，以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 w:bidi="zh-CN"/>
        </w:rPr>
        <w:t>“公用产业+基础设施+先进制造”为驱动，全力打造民生公用、活力公用、生态公用、智慧公用和品质公用“五个公用”，大力实施城市更新行动，建立了多元发展、多极支撑的现代产业体系。城乡供水、污水治理、集中供热、生态治理等公用产业业务经营范围涉及到山东、新疆、陕西、甘肃、山西、河南等多个地区，还承建了包括济宁市主城区内环高架及连接线，崇德大道（济宁主城区至曲阜快速路），济邹、兖郓高速公路，共青团路北延高铁连接线，济宁市农村生活污水治理工程，济宁市引黄西线工程，里彦电厂、运河电厂、嘉祥电厂、华源热电四大热源入城，长江、运河地表水厂等一批省、市重点基础设施建设项目。目前，山东公用的整体规模和综合实力已处于省内领先，进入全国第一方阵。</w:t>
      </w:r>
    </w:p>
    <w:p w14:paraId="68D1ED94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highlight w:val="none"/>
          <w:lang w:val="en-US"/>
        </w:rPr>
        <w:t>主要会计数据和财务指标</w:t>
      </w:r>
    </w:p>
    <w:p w14:paraId="416C6F59">
      <w:pPr>
        <w:pStyle w:val="4"/>
        <w:numPr>
          <w:ilvl w:val="0"/>
          <w:numId w:val="0"/>
        </w:numPr>
        <w:spacing w:line="600" w:lineRule="exact"/>
        <w:ind w:firstLine="6425" w:firstLineChars="2000"/>
        <w:jc w:val="both"/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  <w:t>金额单位：亿元</w:t>
      </w:r>
    </w:p>
    <w:tbl>
      <w:tblPr>
        <w:tblStyle w:val="8"/>
        <w:tblW w:w="8698" w:type="dxa"/>
        <w:tblInd w:w="4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4138"/>
        <w:gridCol w:w="2985"/>
      </w:tblGrid>
      <w:tr w14:paraId="111511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exac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4B9203">
            <w:pPr>
              <w:widowControl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0491E">
            <w:pPr>
              <w:widowControl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32"/>
                <w:szCs w:val="32"/>
              </w:rPr>
              <w:t>项</w:t>
            </w: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32"/>
                <w:szCs w:val="32"/>
              </w:rPr>
              <w:t>目</w:t>
            </w:r>
          </w:p>
        </w:tc>
        <w:tc>
          <w:tcPr>
            <w:tcW w:w="2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7EDD8">
            <w:pPr>
              <w:widowControl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32"/>
                <w:szCs w:val="32"/>
              </w:rPr>
              <w:t>金</w:t>
            </w: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32"/>
                <w:szCs w:val="32"/>
              </w:rPr>
              <w:t>额</w:t>
            </w:r>
          </w:p>
        </w:tc>
      </w:tr>
      <w:tr w14:paraId="5032C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exac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CA6013">
            <w:pPr>
              <w:widowControl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1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0C73E1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</w:rPr>
              <w:t>资产总额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00012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676.80</w:t>
            </w:r>
          </w:p>
        </w:tc>
      </w:tr>
      <w:tr w14:paraId="55EF02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exac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15C253">
            <w:pPr>
              <w:widowControl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1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32CB6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</w:rPr>
              <w:t>负债总额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D553B4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498.10</w:t>
            </w:r>
          </w:p>
        </w:tc>
      </w:tr>
      <w:tr w14:paraId="1F0742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exac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D4164">
            <w:pPr>
              <w:widowControl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1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C2F948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</w:rPr>
              <w:t>所有者权益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BD1A54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178.70</w:t>
            </w:r>
          </w:p>
        </w:tc>
      </w:tr>
      <w:tr w14:paraId="2B3C9A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exac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5D0027">
            <w:pPr>
              <w:widowControl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1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767A3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</w:rPr>
              <w:t>营业收入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67AD65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149.50</w:t>
            </w:r>
          </w:p>
        </w:tc>
      </w:tr>
      <w:tr w14:paraId="734E32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exac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9CCC8">
            <w:pPr>
              <w:widowControl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1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2AEF77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</w:rPr>
              <w:t>营业成本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D8F2AB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</w:rPr>
              <w:t>125.34</w:t>
            </w:r>
          </w:p>
        </w:tc>
      </w:tr>
      <w:tr w14:paraId="4B6C9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exac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4B876">
            <w:pPr>
              <w:widowControl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41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5718A3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</w:rPr>
              <w:t>利润总额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B32136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</w:rPr>
              <w:t>5.47</w:t>
            </w:r>
          </w:p>
        </w:tc>
      </w:tr>
    </w:tbl>
    <w:p w14:paraId="21E00FA9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Times New Roman"/>
          <w:b/>
          <w:sz w:val="32"/>
          <w:szCs w:val="32"/>
          <w:highlight w:val="none"/>
          <w:lang w:eastAsia="zh-CN"/>
        </w:rPr>
      </w:pPr>
      <w:r>
        <w:rPr>
          <w:rFonts w:hint="eastAsia" w:ascii="方正黑体简体" w:hAnsi="方正黑体简体" w:eastAsia="方正黑体简体" w:cs="Times New Roman"/>
          <w:b/>
          <w:sz w:val="32"/>
          <w:szCs w:val="32"/>
          <w:highlight w:val="none"/>
          <w:lang w:eastAsia="zh-CN"/>
        </w:rPr>
        <w:t>三</w:t>
      </w:r>
      <w:r>
        <w:rPr>
          <w:rFonts w:hint="eastAsia" w:ascii="方正黑体简体" w:hAnsi="方正黑体简体" w:eastAsia="方正黑体简体" w:cs="Times New Roman"/>
          <w:b/>
          <w:sz w:val="32"/>
          <w:szCs w:val="32"/>
          <w:highlight w:val="none"/>
        </w:rPr>
        <w:t>、财务会计报告和审计报告摘要</w:t>
      </w:r>
    </w:p>
    <w:p w14:paraId="33B41D30">
      <w:pPr>
        <w:spacing w:line="600" w:lineRule="exact"/>
        <w:ind w:firstLine="787" w:firstLineChars="245"/>
        <w:rPr>
          <w:rFonts w:ascii="Times New Roman" w:hAnsi="Times New Roman" w:eastAsia="方正仿宋简体" w:cs="Times New Roman"/>
          <w:b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北京中名国成会计师事务所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（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特殊普通合伙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）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审</w:t>
      </w:r>
      <w:r>
        <w:rPr>
          <w:rFonts w:ascii="Times New Roman" w:hAnsi="Times New Roman" w:eastAsia="方正仿宋简体" w:cs="Times New Roman"/>
          <w:b/>
          <w:color w:val="000000"/>
          <w:sz w:val="32"/>
          <w:szCs w:val="32"/>
        </w:rPr>
        <w:t>计了2023年12月31日的合并及公司资产负债表、利润表、现金流量表、</w:t>
      </w:r>
      <w:r>
        <w:rPr>
          <w:rFonts w:hint="eastAsia" w:ascii="Times New Roman" w:hAnsi="Times New Roman" w:eastAsia="方正仿宋简体" w:cs="Times New Roman"/>
          <w:b/>
          <w:color w:val="000000"/>
          <w:sz w:val="32"/>
          <w:szCs w:val="32"/>
        </w:rPr>
        <w:t>所有者</w:t>
      </w:r>
      <w:r>
        <w:rPr>
          <w:rFonts w:ascii="Times New Roman" w:hAnsi="Times New Roman" w:eastAsia="方正仿宋简体" w:cs="Times New Roman"/>
          <w:b/>
          <w:color w:val="000000"/>
          <w:sz w:val="32"/>
          <w:szCs w:val="32"/>
        </w:rPr>
        <w:t>权益变动表以及相关财务报表附注。</w:t>
      </w:r>
    </w:p>
    <w:p w14:paraId="65B6ADEE">
      <w:pPr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楷体简体" w:cs="Times New Roman"/>
          <w:b/>
          <w:bCs/>
          <w:kern w:val="44"/>
          <w:sz w:val="32"/>
          <w:szCs w:val="32"/>
        </w:rPr>
        <w:t>（一）</w:t>
      </w:r>
      <w:r>
        <w:rPr>
          <w:rFonts w:ascii="Times New Roman" w:hAnsi="Times New Roman" w:eastAsia="方正楷体简体" w:cs="Times New Roman"/>
          <w:b/>
          <w:bCs/>
          <w:kern w:val="44"/>
          <w:sz w:val="32"/>
          <w:szCs w:val="32"/>
        </w:rPr>
        <w:t>审计意见</w:t>
      </w:r>
      <w:r>
        <w:rPr>
          <w:rFonts w:hint="eastAsia" w:ascii="Times New Roman" w:hAnsi="Times New Roman" w:eastAsia="方正楷体简体" w:cs="Times New Roman"/>
          <w:b/>
          <w:bCs/>
          <w:kern w:val="44"/>
          <w:sz w:val="32"/>
          <w:szCs w:val="32"/>
        </w:rPr>
        <w:t>。</w:t>
      </w:r>
      <w:r>
        <w:rPr>
          <w:rFonts w:ascii="Times New Roman" w:hAnsi="Times New Roman" w:eastAsia="方正仿宋简体" w:cs="Times New Roman"/>
          <w:b/>
          <w:color w:val="000000"/>
          <w:sz w:val="32"/>
          <w:szCs w:val="32"/>
        </w:rPr>
        <w:t>事务所认为，</w:t>
      </w:r>
      <w:r>
        <w:rPr>
          <w:rFonts w:hint="eastAsia" w:ascii="Times New Roman" w:hAnsi="Times New Roman" w:eastAsia="方正仿宋简体" w:cs="Times New Roman"/>
          <w:b/>
          <w:color w:val="000000"/>
          <w:sz w:val="32"/>
          <w:szCs w:val="32"/>
        </w:rPr>
        <w:t>后附的财务报表在所有重大方面按照企业会计准则的规定编制，公允反映了公司</w:t>
      </w:r>
      <w:r>
        <w:rPr>
          <w:rFonts w:ascii="Times New Roman" w:hAnsi="Times New Roman" w:eastAsia="方正仿宋简体" w:cs="Times New Roman"/>
          <w:b/>
          <w:color w:val="000000"/>
          <w:sz w:val="32"/>
          <w:szCs w:val="32"/>
        </w:rPr>
        <w:t>2023年12月31日的合并及公司财务状况以及2023年度的合并及公司经营成果和现金流量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。</w:t>
      </w:r>
    </w:p>
    <w:p w14:paraId="4DDF9A5E">
      <w:pPr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color w:val="000000"/>
          <w:sz w:val="32"/>
          <w:szCs w:val="32"/>
        </w:rPr>
      </w:pPr>
      <w:r>
        <w:rPr>
          <w:rFonts w:hint="eastAsia" w:ascii="Times New Roman" w:hAnsi="Times New Roman" w:eastAsia="方正楷体简体" w:cs="Times New Roman"/>
          <w:b/>
          <w:bCs/>
          <w:kern w:val="44"/>
          <w:sz w:val="32"/>
          <w:szCs w:val="32"/>
        </w:rPr>
        <w:t>（二）</w:t>
      </w:r>
      <w:r>
        <w:rPr>
          <w:rFonts w:ascii="Times New Roman" w:hAnsi="Times New Roman" w:eastAsia="方正楷体简体" w:cs="Times New Roman"/>
          <w:b/>
          <w:bCs/>
          <w:kern w:val="44"/>
          <w:sz w:val="32"/>
          <w:szCs w:val="32"/>
        </w:rPr>
        <w:t>形成审计意见的基础</w:t>
      </w:r>
      <w:r>
        <w:rPr>
          <w:rFonts w:hint="eastAsia" w:ascii="Times New Roman" w:hAnsi="Times New Roman" w:eastAsia="方正楷体简体" w:cs="Times New Roman"/>
          <w:b/>
          <w:bCs/>
          <w:kern w:val="44"/>
          <w:sz w:val="32"/>
          <w:szCs w:val="32"/>
        </w:rPr>
        <w:t>。</w:t>
      </w:r>
      <w:r>
        <w:rPr>
          <w:rFonts w:ascii="Times New Roman" w:hAnsi="Times New Roman" w:eastAsia="方正仿宋简体" w:cs="Times New Roman"/>
          <w:b/>
          <w:color w:val="000000"/>
          <w:sz w:val="32"/>
          <w:szCs w:val="32"/>
        </w:rPr>
        <w:t>事务所</w:t>
      </w:r>
      <w:r>
        <w:rPr>
          <w:rFonts w:hint="eastAsia" w:ascii="Times New Roman" w:hAnsi="Times New Roman" w:eastAsia="方正仿宋简体" w:cs="Times New Roman"/>
          <w:b/>
          <w:color w:val="000000"/>
          <w:sz w:val="32"/>
          <w:szCs w:val="32"/>
        </w:rPr>
        <w:t>按照中国注册会计师审计准则的规定执行了审计工作。审计报告的“注册会计师对财务报表审计的责任”部分进一步阐述了事务所在这些准则下的责任。按照中国注册会计师职业道德守则，独立于公司，并履行了职业道德方面的其他责任。事务所相信获取的审计证据是充分、适当的，为发表审计意见提供了基础。</w:t>
      </w:r>
    </w:p>
    <w:p w14:paraId="170E66C9">
      <w:pPr>
        <w:spacing w:line="600" w:lineRule="exact"/>
        <w:ind w:firstLine="643" w:firstLineChars="200"/>
        <w:rPr>
          <w:rFonts w:ascii="Times New Roman" w:hAnsi="Times New Roman" w:eastAsia="方正楷体简体" w:cs="Times New Roman"/>
          <w:b/>
          <w:bCs/>
          <w:kern w:val="44"/>
          <w:sz w:val="32"/>
          <w:szCs w:val="32"/>
        </w:rPr>
      </w:pPr>
      <w:r>
        <w:rPr>
          <w:rFonts w:hint="eastAsia" w:ascii="Times New Roman" w:hAnsi="Times New Roman" w:eastAsia="方正楷体简体" w:cs="Times New Roman"/>
          <w:b/>
          <w:bCs/>
          <w:kern w:val="44"/>
          <w:sz w:val="32"/>
          <w:szCs w:val="32"/>
        </w:rPr>
        <w:t>（三）</w:t>
      </w:r>
      <w:r>
        <w:rPr>
          <w:rFonts w:ascii="Times New Roman" w:hAnsi="Times New Roman" w:eastAsia="方正楷体简体" w:cs="Times New Roman"/>
          <w:b/>
          <w:bCs/>
          <w:kern w:val="44"/>
          <w:sz w:val="32"/>
          <w:szCs w:val="32"/>
        </w:rPr>
        <w:t>财务报表的编制基础</w:t>
      </w:r>
      <w:r>
        <w:rPr>
          <w:rFonts w:hint="eastAsia" w:ascii="Times New Roman" w:hAnsi="Times New Roman" w:eastAsia="方正楷体简体" w:cs="Times New Roman"/>
          <w:b/>
          <w:bCs/>
          <w:kern w:val="44"/>
          <w:sz w:val="32"/>
          <w:szCs w:val="32"/>
        </w:rPr>
        <w:t>。</w:t>
      </w:r>
      <w:r>
        <w:rPr>
          <w:rFonts w:ascii="Times New Roman" w:hAnsi="Times New Roman" w:eastAsia="方正仿宋简体" w:cs="Times New Roman"/>
          <w:b/>
          <w:color w:val="000000"/>
          <w:sz w:val="32"/>
          <w:szCs w:val="32"/>
        </w:rPr>
        <w:t>公司财务报表以持续经营为编制基础，根据实际发生的交易和事项，按照财政部颁布的《企业会计准则》及相关规定，并基于以下所述重要会计政策、会计估计进行编制。</w:t>
      </w:r>
    </w:p>
    <w:p w14:paraId="1016E994">
      <w:pPr>
        <w:keepNext w:val="0"/>
        <w:keepLines w:val="0"/>
        <w:pageBreakBefore w:val="0"/>
        <w:widowControl w:val="0"/>
        <w:tabs>
          <w:tab w:val="left" w:pos="42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highlight w:val="none"/>
          <w:lang w:eastAsia="zh-CN"/>
        </w:rPr>
        <w:t>四、董事会报告摘要</w:t>
      </w:r>
    </w:p>
    <w:p w14:paraId="72BB60B2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ascii="Times New Roman" w:hAnsi="Times New Roman" w:eastAsia="方正楷体简体"/>
          <w:b/>
          <w:sz w:val="32"/>
          <w:szCs w:val="32"/>
        </w:rPr>
      </w:pPr>
      <w:r>
        <w:rPr>
          <w:rFonts w:ascii="Times New Roman" w:hAnsi="Times New Roman" w:eastAsia="方正楷体简体"/>
          <w:b/>
          <w:sz w:val="32"/>
          <w:szCs w:val="32"/>
        </w:rPr>
        <w:t>（一）公司发展战略与规划情况</w:t>
      </w:r>
    </w:p>
    <w:p w14:paraId="2D8E93B7">
      <w:pP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坚持“公用产业+基础设施建设”双轮驱动发展战略，聚焦主责主业、深化改革创新，资产规模高速提升、产业布局不断完善。组织推动新一轮国企改革，持续深化重点改革任务，企业活力效率得到有效提升，按照“可衡量、可考核、可检验”的总体要求，坚定改革方向、深化改革目标，抓重点、补短板、强弱项，扎实推动改革工作全面发力、逐项突破，高质高效完成了既定改革任务目标，法人治理结构较前期更加健全、国有资本布局更加合理、三项制度改革成效显著，取得了较为理想的阶段性成果。</w:t>
      </w:r>
    </w:p>
    <w:p w14:paraId="06B93212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ascii="Times New Roman" w:hAnsi="Times New Roman" w:eastAsia="方正楷体简体"/>
          <w:b/>
          <w:sz w:val="32"/>
          <w:szCs w:val="32"/>
        </w:rPr>
      </w:pPr>
      <w:r>
        <w:rPr>
          <w:rFonts w:ascii="Times New Roman" w:hAnsi="Times New Roman" w:eastAsia="方正楷体简体"/>
          <w:b/>
          <w:sz w:val="32"/>
          <w:szCs w:val="32"/>
        </w:rPr>
        <w:t>（</w:t>
      </w:r>
      <w:r>
        <w:rPr>
          <w:rFonts w:hint="eastAsia" w:ascii="Times New Roman" w:hAnsi="Times New Roman" w:eastAsia="方正楷体简体"/>
          <w:b/>
          <w:sz w:val="32"/>
          <w:szCs w:val="32"/>
          <w:lang w:eastAsia="zh-CN"/>
        </w:rPr>
        <w:t>二</w:t>
      </w:r>
      <w:r>
        <w:rPr>
          <w:rFonts w:ascii="Times New Roman" w:hAnsi="Times New Roman" w:eastAsia="方正楷体简体"/>
          <w:b/>
          <w:sz w:val="32"/>
          <w:szCs w:val="32"/>
        </w:rPr>
        <w:t>）企业核心竞争力培育和提升情况</w:t>
      </w:r>
    </w:p>
    <w:p w14:paraId="48E44B79">
      <w:pP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1.科技创新情况。2023年科研投入费用1.28亿元，同比增长55.71%；共获批专利161项，省级技术创新项目7项，参与制定标准25项。</w:t>
      </w:r>
    </w:p>
    <w:p w14:paraId="7AFAA637">
      <w:pP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市场营销情况。以深化“放管服”改革为抓手，以“对标对表标杆城市、指标最优城市”为重点，持续优化获得用水、获得用气营商环境，并获得“济宁市2023年度优化营商环境工作突出单位”荣誉称号。聚焦供水、供热等民生领域，坚持“点滴送真情，清泉润万家”的供水品牌服务理念，以及“好温暖”和“暖一城”的供热品牌服务理念，用心用情用力解决好人民群众急难愁盼问题，2023年各类诉求办结率100%，有效提升了品牌知名度和市场影响力，形成了一套具有企业自身特色的“民生公用”市场经营策略。</w:t>
      </w:r>
    </w:p>
    <w:p w14:paraId="1470B01B">
      <w:pP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人力资源管理情况。2023年3月开始，公司及各权属公司有计划地进行了干部调整工作，干部人才队伍向年轻化、高学历化转变，通过参加招聘、柔性人才引进方式加大人才招引力度，采用集中培训、选派前往央企锻炼等各种途径，进一步加强人才选育用留工作。</w:t>
      </w:r>
    </w:p>
    <w:p w14:paraId="64E24062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eastAsia" w:ascii="方正楷体简体" w:hAnsi="方正楷体简体" w:eastAsia="方正楷体简体" w:cs="方正楷体简体"/>
          <w:b/>
          <w:sz w:val="32"/>
          <w:szCs w:val="32"/>
        </w:rPr>
      </w:pPr>
      <w:r>
        <w:rPr>
          <w:rFonts w:hint="eastAsia" w:ascii="Times New Roman" w:hAnsi="Times New Roman" w:eastAsia="方正仿宋简体"/>
          <w:b/>
          <w:bCs/>
          <w:sz w:val="32"/>
          <w:szCs w:val="32"/>
          <w:lang w:eastAsia="zh-CN"/>
        </w:rPr>
        <w:t>（三）</w:t>
      </w:r>
      <w:r>
        <w:rPr>
          <w:rFonts w:ascii="Times New Roman" w:hAnsi="Times New Roman" w:eastAsia="方正楷体简体"/>
          <w:b/>
          <w:sz w:val="32"/>
          <w:szCs w:val="32"/>
        </w:rPr>
        <w:t>公司未来发</w:t>
      </w:r>
      <w:r>
        <w:rPr>
          <w:rFonts w:hint="eastAsia" w:ascii="方正楷体简体" w:hAnsi="方正楷体简体" w:eastAsia="方正楷体简体" w:cs="方正楷体简体"/>
          <w:b/>
          <w:sz w:val="32"/>
          <w:szCs w:val="32"/>
        </w:rPr>
        <w:t>展潜力</w:t>
      </w:r>
    </w:p>
    <w:p w14:paraId="5B0560B1">
      <w:pP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稳固推进重点项目建设，持续展现国企担当。经过十八个月的艰苦奋战，按时完成了市重点工程项目崇德大道主线通车任务；共青团路北延高铁连接线项目于2023年6月份提前一个月全线通车，实现了鲁南高铁与济宁城区内环高架“高高”对接，助力济宁主城区跨入“高铁时代”；杨柳互通立交项目地面道路提前21天竣工通车，充分发挥了枢纽立交的互联互通作用，也为崇德大道主线2023年底通车奠定了坚定基础；济邹高速快速推进，标准化、规范化管理被省交通厅表扬推广；蔡庄互通立交进场施工，兖郓高速前期手续正加紧办理；深化与中铁、中建等优质央企合作，以合作带动大项目建设，为重点项目建设顺利进行提供必要保障。</w:t>
      </w:r>
    </w:p>
    <w:p w14:paraId="3273E28B">
      <w:pP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加大高新技术产业发展力度，提升产业外延能力。实施研发机构提质升级计划和产学研合作三年行动计划，深化与北京化工大学、上海交通大学、山东大学等校企合作。金水科技入选“国务院国资委科改示范企业”；入选“山东省第二批数字经济晨星工厂入库企业”，现与山东大学建立产学研合作平台共同开展智慧供热系统研发。“智慧水务计量仪表及其控制系统”获批山东省首台（套）技术装备，该技术在智能水表领域达到国内领先水平。联合浙江农林大学、浙江清华长三角研究院经过8年攻关，构建了国内唯一的农村污水处理专用EEM菌种资源库。投资51.8亿元建设中国电子信创新兴产业基地，招引总投资10亿元的“哈希算力中心项目”入驻园区，助力产业集群的形成及济宁数字经济的发展。</w:t>
      </w:r>
    </w:p>
    <w:p w14:paraId="5F1C1192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spacing w:line="600" w:lineRule="exact"/>
        <w:ind w:firstLine="630" w:firstLineChars="196"/>
        <w:textAlignment w:val="auto"/>
        <w:rPr>
          <w:rFonts w:hint="eastAsia" w:ascii="方正楷体简体" w:hAnsi="方正楷体简体" w:eastAsia="方正楷体简体" w:cs="方正楷体简体"/>
          <w:b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sz w:val="32"/>
          <w:szCs w:val="32"/>
          <w:lang w:eastAsia="zh-CN"/>
        </w:rPr>
        <w:t>（四）</w:t>
      </w:r>
      <w:r>
        <w:rPr>
          <w:rFonts w:hint="eastAsia" w:ascii="方正楷体简体" w:hAnsi="方正楷体简体" w:eastAsia="方正楷体简体" w:cs="方正楷体简体"/>
          <w:b/>
          <w:sz w:val="32"/>
          <w:szCs w:val="32"/>
        </w:rPr>
        <w:t>公司改革重组和内部管理情况</w:t>
      </w:r>
    </w:p>
    <w:p w14:paraId="5D968A56">
      <w:pP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内部机构变动情况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组织推动新一轮国企改革，持续深化重点改革任务，企业活力效率得到有效提升。金水科技成功入选国务院国资委“科改示范企业”名单。实施亏损企业治理和压缩管理层级专项整治活动，完成29户亏损企业治理，实现亏损面、亏损额双下降。积极稳妥推进鹏程路桥、圣华汽车等混合所有制改革，反应灵敏、运行高效、充满活力的市场化经营机制初步形成。</w:t>
      </w:r>
    </w:p>
    <w:p w14:paraId="66EDCB73">
      <w:pP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国有产权变动情况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截至2023年12月31日，产权登记系统（旧系统）内山东公用出资企业共计114户。本年共发生产权登记12次，其中占有产权登记8户，全资子公司有香港公用投资发展有限公司、济宁曲阜公用置业有限公司等3户，合资公司有山东公用热电集团（庆城）热力有限公司、曲阜公用苏伊士水务发展有限公司等5户。</w:t>
      </w:r>
    </w:p>
    <w:p w14:paraId="48BC84C0">
      <w:pP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公司制度建设及管理效能情况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紧密结合公司发展定位、业务流程及战略目标，强化制度建设、流程再造，根据国家、省市近年来相关法律法规最新政策要求，结合现阶段发展实际，对2019年以来制定印发的47项基本管理制度、管理办法进行修订完善，进一步完善了公司基本管理制度、管理办法、实施细则，加快建立现代企业管理体制。细化目标管理，强化过程控制，对权属公司实行季度考核，按照“三个一”工作机制，创新管理，制订权属公司季度考核办法及计分细则，从之前一年一考核细化为一季度一考核，表扬先进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鞭策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后进，进一步提高权属公司争先进位意识，提升公司综合实力。</w:t>
      </w:r>
    </w:p>
    <w:p w14:paraId="162E8732">
      <w:pPr>
        <w:spacing w:line="600" w:lineRule="exact"/>
        <w:ind w:firstLine="643" w:firstLineChars="200"/>
        <w:rPr>
          <w:rFonts w:hint="eastAsia" w:ascii="方正楷体简体" w:hAnsi="方正楷体简体" w:eastAsia="方正楷体简体" w:cs="方正楷体简体"/>
          <w:b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sz w:val="32"/>
          <w:szCs w:val="32"/>
        </w:rPr>
        <w:t>（</w:t>
      </w:r>
      <w:r>
        <w:rPr>
          <w:rFonts w:hint="eastAsia" w:ascii="方正楷体简体" w:hAnsi="方正楷体简体" w:eastAsia="方正楷体简体" w:cs="方正楷体简体"/>
          <w:b/>
          <w:sz w:val="32"/>
          <w:szCs w:val="32"/>
          <w:lang w:val="en-US" w:eastAsia="zh-CN"/>
        </w:rPr>
        <w:t>五</w:t>
      </w:r>
      <w:r>
        <w:rPr>
          <w:rFonts w:hint="eastAsia" w:ascii="方正楷体简体" w:hAnsi="方正楷体简体" w:eastAsia="方正楷体简体" w:cs="方正楷体简体"/>
          <w:b/>
          <w:sz w:val="32"/>
          <w:szCs w:val="32"/>
        </w:rPr>
        <w:t>）企业劳动、人事、分配制度改革及执行情况</w:t>
      </w:r>
    </w:p>
    <w:p w14:paraId="641368D3">
      <w:pP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大力深化企业劳动、人事、分配制度改革，坚持对标行业先进企业机构设置和“三定”标准，着重推进改革和组织架构体系的调整完善；建立了“工作有标准、管理全覆盖、考核无盲区、奖惩有依据”的全员绩效考核体系，构建横向到边，纵向到底的绩效考核分配制度体系，加大权属公司经理层成员任期制和契约化管理工作的推行力度，各权属公司董事会科学分析并制定经理层各成员岗位职责、年度经营业绩指标和任期业绩平均指标，并与经理层分别签订聘任协议书、任期业绩责任书和年度业绩责任书，做到了“一人三书”，协议中也明确了岗位职责、业绩指标及考核结果的应用等方面内容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指导权属公司开展管理人员竞争上岗工作，逐步建立人员能进能出、能上能下、能增能减的劳动、人事和分配制度管理体系。</w:t>
      </w:r>
    </w:p>
    <w:p w14:paraId="10969550">
      <w:pPr>
        <w:spacing w:line="600" w:lineRule="exact"/>
        <w:ind w:firstLine="643" w:firstLineChars="200"/>
        <w:rPr>
          <w:rFonts w:hint="eastAsia" w:ascii="方正楷体简体" w:hAnsi="方正楷体简体" w:eastAsia="方正楷体简体" w:cs="方正楷体简体"/>
          <w:b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sz w:val="32"/>
          <w:szCs w:val="32"/>
        </w:rPr>
        <w:t>（</w:t>
      </w:r>
      <w:r>
        <w:rPr>
          <w:rFonts w:hint="eastAsia" w:ascii="方正楷体简体" w:hAnsi="方正楷体简体" w:eastAsia="方正楷体简体" w:cs="方正楷体简体"/>
          <w:b/>
          <w:sz w:val="32"/>
          <w:szCs w:val="32"/>
          <w:lang w:val="en-US" w:eastAsia="zh-CN"/>
        </w:rPr>
        <w:t>六</w:t>
      </w:r>
      <w:r>
        <w:rPr>
          <w:rFonts w:hint="eastAsia" w:ascii="方正楷体简体" w:hAnsi="方正楷体简体" w:eastAsia="方正楷体简体" w:cs="方正楷体简体"/>
          <w:b/>
          <w:sz w:val="32"/>
          <w:szCs w:val="32"/>
        </w:rPr>
        <w:t>）企业人力资源管理及公开招聘情况</w:t>
      </w:r>
    </w:p>
    <w:p w14:paraId="1F35815B">
      <w:pP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根据内部人才需求，制定劳动用工计划，并按照市国资委批复要求，面向社会进行公开招聘，分批次发布招聘公告，组织笔试、面试筛选优秀人才。同时，积极参加线下招聘活动，包括济宁学院校园招聘活动、济宁职业技术学院校园招聘活动、济宁市暑期高校毕业生暨助企攀登专场招聘会，通过线上宣传和线下面谈的形式，向广大应届高校毕业生进行岗位推介，吸引应届高校毕业生回济就业。2023年共通过市国资委备案人才137人，其中硕士研究生7人、本科生83人、专科生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人。</w:t>
      </w:r>
    </w:p>
    <w:p w14:paraId="0FF20B8E">
      <w:pPr>
        <w:adjustRightInd w:val="0"/>
        <w:snapToGrid w:val="0"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高度重视人才培养工作，整合多种培训资源，加强培训管理，全面提升员工职业素养和技术能力。公司制定2023年培训计划，并成功举办一期新员工入职培训、两期“干部343赋能提升”培训班。公司以培养复合型党政正职、专业化年轻干部为重点，圆满完成了干部培训“343赋能提升工程”培训工作，通过3年时间，全面提升了干部人才“政治素质、管理能力、专业技能”3个方面素质能力，系统地培养综合性管理干部，打造优秀干部队伍。</w:t>
      </w:r>
    </w:p>
    <w:p w14:paraId="5ACF2B4B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五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度内重大事项及对企业的影响</w:t>
      </w:r>
    </w:p>
    <w:p w14:paraId="1901D48D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/>
        </w:rPr>
        <w:t>无。</w:t>
      </w:r>
    </w:p>
    <w:sectPr>
      <w:pgSz w:w="11906" w:h="16838"/>
      <w:pgMar w:top="1984" w:right="1474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00AB01EA"/>
    <w:rsid w:val="00015A87"/>
    <w:rsid w:val="000168AA"/>
    <w:rsid w:val="00151E71"/>
    <w:rsid w:val="002135C1"/>
    <w:rsid w:val="00271CDE"/>
    <w:rsid w:val="00300466"/>
    <w:rsid w:val="003152D1"/>
    <w:rsid w:val="004055A1"/>
    <w:rsid w:val="00474979"/>
    <w:rsid w:val="004D1F6D"/>
    <w:rsid w:val="005571EB"/>
    <w:rsid w:val="005A15E0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A74B2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7327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67740B1"/>
    <w:rsid w:val="0C1300BA"/>
    <w:rsid w:val="10BE55C1"/>
    <w:rsid w:val="11D529E3"/>
    <w:rsid w:val="127B4FFE"/>
    <w:rsid w:val="208262A6"/>
    <w:rsid w:val="20AA7F33"/>
    <w:rsid w:val="238B6554"/>
    <w:rsid w:val="2D8B4FDC"/>
    <w:rsid w:val="2E9539DE"/>
    <w:rsid w:val="32DA0AFB"/>
    <w:rsid w:val="342E2863"/>
    <w:rsid w:val="3BA57CE7"/>
    <w:rsid w:val="3EB218E1"/>
    <w:rsid w:val="3F812F19"/>
    <w:rsid w:val="40BD03D8"/>
    <w:rsid w:val="46625A9C"/>
    <w:rsid w:val="54E11FC0"/>
    <w:rsid w:val="563D6669"/>
    <w:rsid w:val="5D195C77"/>
    <w:rsid w:val="5FA7504C"/>
    <w:rsid w:val="67C52FC9"/>
    <w:rsid w:val="69B626EC"/>
    <w:rsid w:val="6ABC67DC"/>
    <w:rsid w:val="72AA54B5"/>
    <w:rsid w:val="76323B4E"/>
    <w:rsid w:val="77930F88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1000"/>
      <w:outlineLvl w:val="0"/>
    </w:pPr>
    <w:rPr>
      <w:rFonts w:ascii="Microsoft JhengHei" w:hAnsi="Microsoft JhengHei" w:eastAsia="Microsoft JhengHei" w:cs="Microsoft JhengHei"/>
      <w:b/>
      <w:bCs/>
      <w:sz w:val="30"/>
      <w:szCs w:val="30"/>
      <w:lang w:val="zh-CN" w:eastAsia="zh-CN" w:bidi="zh-C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4">
    <w:name w:val="Body Text"/>
    <w:basedOn w:val="1"/>
    <w:link w:val="11"/>
    <w:qFormat/>
    <w:uiPriority w:val="1"/>
    <w:rPr>
      <w:sz w:val="32"/>
      <w:szCs w:val="32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customStyle="1" w:styleId="10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正文文本 字符"/>
    <w:basedOn w:val="9"/>
    <w:link w:val="4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2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3">
    <w:name w:val="页眉 字符"/>
    <w:basedOn w:val="9"/>
    <w:link w:val="6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4">
    <w:name w:val="页脚 字符"/>
    <w:basedOn w:val="9"/>
    <w:link w:val="5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4350</Words>
  <Characters>4501</Characters>
  <Lines>10</Lines>
  <Paragraphs>2</Paragraphs>
  <TotalTime>2</TotalTime>
  <ScaleCrop>false</ScaleCrop>
  <LinksUpToDate>false</LinksUpToDate>
  <CharactersWithSpaces>4517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2023-04-27T01:47:00Z</dcterms:created>
  <dc:creator>lenovo</dc:creator>
  <cp:lastModifiedBy>Administrator</cp:lastModifiedBy>
  <cp:lastPrinted>2022-08-29T09:18:00Z</cp:lastPrinted>
  <dcterms:modified xsi:type="dcterms:W3CDTF">2024-06-30T07:57:10Z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DF933308E89140698FFDB213635004B4_13</vt:lpwstr>
  </property>
</Properties>
</file>