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883" w:firstLineChars="200"/>
        <w:jc w:val="center"/>
        <w:textAlignment w:val="auto"/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山东公用工程质量检测有限公司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883" w:firstLineChars="200"/>
        <w:jc w:val="center"/>
        <w:textAlignment w:val="auto"/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>202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4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>年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一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eastAsia="zh-CN"/>
        </w:rPr>
        <w:t>季度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>财务等重大信息公开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黑体简体" w:cs="Times New Roman"/>
          <w:b/>
          <w:bCs/>
          <w:kern w:val="2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简体" w:cs="Times New Roman"/>
          <w:b/>
          <w:bCs/>
          <w:kern w:val="2"/>
          <w:sz w:val="32"/>
          <w:szCs w:val="32"/>
          <w:lang w:val="en-US" w:eastAsia="zh-CN" w:bidi="ar-SA"/>
        </w:rPr>
        <w:t>一、</w:t>
      </w: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公司基本情况</w:t>
      </w:r>
    </w:p>
    <w:p>
      <w:pPr>
        <w:pStyle w:val="4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公司名称：山东公用</w:t>
      </w:r>
      <w:bookmarkStart w:id="0" w:name="_GoBack"/>
      <w:bookmarkEnd w:id="0"/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工程质量检测有限公司</w:t>
      </w:r>
    </w:p>
    <w:p>
      <w:pPr>
        <w:pStyle w:val="4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类    型：有限责任公司(非自然人投资或控股的法人独资)</w:t>
      </w:r>
    </w:p>
    <w:p>
      <w:pPr>
        <w:pStyle w:val="4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法定代表人：李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超</w:t>
      </w:r>
    </w:p>
    <w:p>
      <w:pPr>
        <w:pStyle w:val="4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注册资金：伍佰万元整</w:t>
      </w:r>
    </w:p>
    <w:p>
      <w:pPr>
        <w:pStyle w:val="4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注册地址：济宁市顺河门外街78号</w:t>
      </w:r>
    </w:p>
    <w:p>
      <w:pPr>
        <w:pStyle w:val="4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经营范围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：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工程质量检测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：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原材料、中间产品、金属结构、机电设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备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检测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桩基检测，管材材质检测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混凝土工程检测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岩土工程检测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工程量测监测，工程测绘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质检技术服务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地基基础工程检测，堤防工程检测，管道无损检测，钢结构工程检测，消防工程检测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水文服务，环境保护监测，水下作业和检测，工程质量鉴定和检测，工程管理维护，工程代建管理。(依法须经批准的项目，经相关部门批准后方可开展经营活动)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。</w:t>
      </w:r>
    </w:p>
    <w:p>
      <w:pPr>
        <w:pStyle w:val="4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山东公用工程质量检测有限公司，前身为济宁市水利工程质量检测中心，于2003 年7月由济宁市水利局批复成立。现拥有《资质认定计量认证证书》(证书编号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：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231501080133)77个项目666个参数的检验检测资质。取得水利部颁发检测单位混凝土甲级资质证书(证书编号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：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水质检资字第12022102A136)，山东省水利厅颁发检测单位岩土工程、量测工程、金属结构工程、机械电气工程四项乙级资质证书，中国水利工程协会颁发全国水利建设市场主体AAA 级企业信用等级证书，可以承担大中小型水利工程类5大类别的检测工作。</w:t>
      </w:r>
    </w:p>
    <w:p>
      <w:pPr>
        <w:pStyle w:val="4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近年来先后承担了堤防工程、河道治理、饮水安全、高标准农田等涉及桥、涵、闸、坝等水利工程的第三方检测工作，从工程原材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料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、中间产品到工程整体，依据有关规范、标准及设计文件，全过程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、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全方位检测，检测手段严谨完整，检测数据准确可靠，得到了省、市、县各级领导及专家的首肯。</w:t>
      </w:r>
    </w:p>
    <w:p>
      <w:pPr>
        <w:pStyle w:val="4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二、</w:t>
      </w:r>
      <w:r>
        <w:rPr>
          <w:rFonts w:hint="default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</w:rPr>
        <w:t>主要会计数据和财务指标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rightChars="0" w:firstLine="643" w:firstLineChars="200"/>
        <w:jc w:val="center"/>
        <w:textAlignment w:val="auto"/>
        <w:rPr>
          <w:rFonts w:hint="eastAsia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2024年一季度主要财务数据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Chars="200" w:right="0" w:rightChars="0"/>
        <w:jc w:val="right"/>
        <w:textAlignment w:val="auto"/>
        <w:rPr>
          <w:rFonts w:hint="eastAsia" w:ascii="方正楷体简体" w:hAnsi="方正楷体简体" w:eastAsia="方正楷体简体" w:cs="方正楷体简体"/>
          <w:b/>
          <w:bCs/>
          <w:color w:val="000000"/>
          <w:spacing w:val="0"/>
          <w:w w:val="100"/>
          <w:position w:val="0"/>
          <w:sz w:val="32"/>
          <w:szCs w:val="32"/>
        </w:rPr>
      </w:pPr>
      <w:r>
        <w:rPr>
          <w:rFonts w:hint="eastAsia" w:ascii="方正楷体简体" w:hAnsi="方正楷体简体" w:eastAsia="方正楷体简体" w:cs="方正楷体简体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单位：人民币万元</w:t>
      </w:r>
    </w:p>
    <w:tbl>
      <w:tblPr>
        <w:tblStyle w:val="2"/>
        <w:tblW w:w="9340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28"/>
        <w:gridCol w:w="2906"/>
        <w:gridCol w:w="290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项目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本期金额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上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年同期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金额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营业总收入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203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164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营业总成本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120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利润总额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83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资产总额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1091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783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负债总额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111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所有者权益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980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750</w:t>
            </w:r>
          </w:p>
        </w:tc>
      </w:tr>
    </w:tbl>
    <w:p>
      <w:pPr>
        <w:pStyle w:val="4"/>
        <w:keepNext w:val="0"/>
        <w:keepLines w:val="0"/>
        <w:pageBreakBefore w:val="0"/>
        <w:widowControl w:val="0"/>
        <w:shd w:val="clear" w:color="auto" w:fill="auto"/>
        <w:tabs>
          <w:tab w:val="left" w:pos="161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三、</w:t>
      </w:r>
      <w:r>
        <w:rPr>
          <w:rFonts w:hint="default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</w:rPr>
        <w:t>财务预算执行情况</w:t>
      </w:r>
    </w:p>
    <w:p>
      <w:pPr>
        <w:pStyle w:val="4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color w:val="auto"/>
          <w:spacing w:val="0"/>
          <w:w w:val="100"/>
          <w:position w:val="0"/>
          <w:sz w:val="32"/>
          <w:szCs w:val="32"/>
          <w:lang w:val="en-US" w:eastAsia="zh-CN"/>
        </w:rPr>
        <w:t>202</w:t>
      </w:r>
      <w:r>
        <w:rPr>
          <w:rFonts w:hint="eastAsia" w:ascii="Times New Roman" w:hAnsi="Times New Roman" w:eastAsia="方正仿宋简体" w:cs="Times New Roman"/>
          <w:b/>
          <w:bCs/>
          <w:color w:val="auto"/>
          <w:spacing w:val="0"/>
          <w:w w:val="100"/>
          <w:position w:val="0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方正仿宋简体" w:cs="Times New Roman"/>
          <w:b/>
          <w:bCs/>
          <w:color w:val="auto"/>
          <w:spacing w:val="0"/>
          <w:w w:val="100"/>
          <w:position w:val="0"/>
          <w:sz w:val="32"/>
          <w:szCs w:val="32"/>
          <w:lang w:val="en-US" w:eastAsia="zh-CN"/>
        </w:rPr>
        <w:t>年</w:t>
      </w:r>
      <w:r>
        <w:rPr>
          <w:rFonts w:hint="eastAsia" w:ascii="Times New Roman" w:hAnsi="Times New Roman" w:eastAsia="方正仿宋简体" w:cs="Times New Roman"/>
          <w:b/>
          <w:bCs/>
          <w:color w:val="auto"/>
          <w:spacing w:val="0"/>
          <w:w w:val="100"/>
          <w:position w:val="0"/>
          <w:sz w:val="32"/>
          <w:szCs w:val="32"/>
          <w:lang w:val="en-US" w:eastAsia="zh-CN"/>
        </w:rPr>
        <w:t>一季度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，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公司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实现营业总收入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203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万元，完成年度预算的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25.06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%；实现利润总额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83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万元，完成年度预算的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31.56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%；实现净利润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79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万元，完成年度预算的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32.78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%。</w:t>
      </w:r>
    </w:p>
    <w:p>
      <w:pPr>
        <w:pStyle w:val="4"/>
        <w:keepNext w:val="0"/>
        <w:keepLines w:val="0"/>
        <w:pageBreakBefore w:val="0"/>
        <w:widowControl w:val="0"/>
        <w:shd w:val="clear" w:color="auto" w:fill="auto"/>
        <w:tabs>
          <w:tab w:val="left" w:pos="162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四、</w:t>
      </w:r>
      <w:r>
        <w:rPr>
          <w:rFonts w:hint="eastAsia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eastAsia="zh-CN"/>
        </w:rPr>
        <w:t>季度</w:t>
      </w:r>
      <w:r>
        <w:rPr>
          <w:rFonts w:hint="default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</w:rPr>
        <w:t>内发生的重大事项及对公司的影响</w:t>
      </w:r>
    </w:p>
    <w:p>
      <w:pPr>
        <w:pStyle w:val="4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无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ZkN2I4NDU0ZTQ2OWYwZWMxMzFlNjJlZTY3MDVmZTYifQ=="/>
  </w:docVars>
  <w:rsids>
    <w:rsidRoot w:val="00000000"/>
    <w:rsid w:val="04A844E4"/>
    <w:rsid w:val="07E37AE3"/>
    <w:rsid w:val="0D910DAE"/>
    <w:rsid w:val="17FB0F87"/>
    <w:rsid w:val="191C7C12"/>
    <w:rsid w:val="1D4B6CCE"/>
    <w:rsid w:val="20203588"/>
    <w:rsid w:val="25587FAA"/>
    <w:rsid w:val="2DCB368B"/>
    <w:rsid w:val="41031D10"/>
    <w:rsid w:val="428A359E"/>
    <w:rsid w:val="4E0B4C5D"/>
    <w:rsid w:val="567E3F64"/>
    <w:rsid w:val="56946B7E"/>
    <w:rsid w:val="58397FAA"/>
    <w:rsid w:val="61E7244E"/>
    <w:rsid w:val="63735674"/>
    <w:rsid w:val="65D429A2"/>
    <w:rsid w:val="6B756129"/>
    <w:rsid w:val="7CC607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Body text|1"/>
    <w:basedOn w:val="1"/>
    <w:autoRedefine/>
    <w:qFormat/>
    <w:uiPriority w:val="0"/>
    <w:pPr>
      <w:widowControl w:val="0"/>
      <w:shd w:val="clear" w:color="auto" w:fill="auto"/>
      <w:spacing w:line="420" w:lineRule="auto"/>
      <w:ind w:firstLine="400"/>
    </w:pPr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825</Words>
  <Characters>902</Characters>
  <Lines>0</Lines>
  <Paragraphs>0</Paragraphs>
  <TotalTime>40</TotalTime>
  <ScaleCrop>false</ScaleCrop>
  <LinksUpToDate>false</LinksUpToDate>
  <CharactersWithSpaces>908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2023-08-24T04:08:00Z</dcterms:created>
  <dc:creator>联想电脑</dc:creator>
  <cp:lastModifiedBy>Administrator</cp:lastModifiedBy>
  <cp:lastPrinted>2024-04-23T08:52:00Z</cp:lastPrinted>
  <dcterms:modified xsi:type="dcterms:W3CDTF">2024-04-30T12:00:36Z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1FFF17E4713D426C88F79E1E7D1E9847_12</vt:lpwstr>
  </property>
</Properties>
</file>