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both"/>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济宁公用惠民瑞马置业有限公司</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第一季度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lang w:eastAsia="zh-CN"/>
        </w:rPr>
      </w:pPr>
      <w:r>
        <w:rPr>
          <w:rFonts w:ascii="Times New Roman" w:hAnsi="Times New Roman" w:eastAsia="方正仿宋简体" w:cs="方正仿宋简体"/>
          <w:b/>
          <w:bCs/>
          <w:sz w:val="32"/>
          <w:szCs w:val="32"/>
        </w:rPr>
        <w:t>济宁公用惠民瑞马置业有限公司</w:t>
      </w:r>
      <w:r>
        <w:rPr>
          <w:rFonts w:hint="eastAsia" w:ascii="Times New Roman" w:hAnsi="Times New Roman" w:eastAsia="方正仿宋简体" w:cs="方正仿宋简体"/>
          <w:b/>
          <w:bCs/>
          <w:sz w:val="32"/>
          <w:szCs w:val="32"/>
          <w:lang w:val="en-US" w:eastAsia="zh-CN"/>
        </w:rPr>
        <w:t>是由济宁公用瑞马置业有限公司</w:t>
      </w:r>
      <w:r>
        <w:rPr>
          <w:rFonts w:ascii="Times New Roman" w:hAnsi="Times New Roman" w:eastAsia="方正仿宋简体" w:cs="方正仿宋简体"/>
          <w:b/>
          <w:bCs/>
          <w:sz w:val="32"/>
          <w:szCs w:val="32"/>
        </w:rPr>
        <w:t>（占股70%）</w:t>
      </w:r>
      <w:r>
        <w:rPr>
          <w:rFonts w:hint="eastAsia" w:ascii="Times New Roman" w:hAnsi="Times New Roman" w:eastAsia="方正仿宋简体" w:cs="方正仿宋简体"/>
          <w:b/>
          <w:bCs/>
          <w:sz w:val="32"/>
          <w:szCs w:val="32"/>
          <w:lang w:val="en-US" w:eastAsia="zh-CN"/>
        </w:rPr>
        <w:t>与济宁市兖州区惠民城建投资有限公司</w:t>
      </w:r>
      <w:r>
        <w:rPr>
          <w:rFonts w:ascii="Times New Roman" w:hAnsi="Times New Roman" w:eastAsia="方正仿宋简体" w:cs="方正仿宋简体"/>
          <w:b/>
          <w:bCs/>
          <w:sz w:val="32"/>
          <w:szCs w:val="32"/>
        </w:rPr>
        <w:t>（占股</w:t>
      </w:r>
      <w:r>
        <w:rPr>
          <w:rFonts w:hint="eastAsia" w:ascii="Times New Roman" w:hAnsi="Times New Roman" w:eastAsia="方正仿宋简体" w:cs="方正仿宋简体"/>
          <w:b/>
          <w:bCs/>
          <w:sz w:val="32"/>
          <w:szCs w:val="32"/>
          <w:lang w:val="en-US" w:eastAsia="zh-CN"/>
        </w:rPr>
        <w:t>3</w:t>
      </w:r>
      <w:r>
        <w:rPr>
          <w:rFonts w:ascii="Times New Roman" w:hAnsi="Times New Roman" w:eastAsia="方正仿宋简体" w:cs="方正仿宋简体"/>
          <w:b/>
          <w:bCs/>
          <w:sz w:val="32"/>
          <w:szCs w:val="32"/>
        </w:rPr>
        <w:t>0%）</w:t>
      </w:r>
      <w:r>
        <w:rPr>
          <w:rFonts w:hint="eastAsia" w:ascii="Times New Roman" w:hAnsi="Times New Roman" w:eastAsia="方正仿宋简体" w:cs="方正仿宋简体"/>
          <w:b/>
          <w:bCs/>
          <w:sz w:val="32"/>
          <w:szCs w:val="32"/>
          <w:lang w:val="en-US" w:eastAsia="zh-CN"/>
        </w:rPr>
        <w:t>合资成立的房地产开发企业，</w:t>
      </w:r>
      <w:r>
        <w:rPr>
          <w:rFonts w:ascii="Times New Roman" w:hAnsi="Times New Roman" w:eastAsia="方正仿宋简体" w:cs="方正仿宋简体"/>
          <w:b/>
          <w:bCs/>
          <w:sz w:val="32"/>
          <w:szCs w:val="32"/>
        </w:rPr>
        <w:t>成立于2018年9月，</w:t>
      </w:r>
      <w:r>
        <w:rPr>
          <w:rFonts w:hint="eastAsia" w:ascii="Times New Roman" w:hAnsi="Times New Roman" w:eastAsia="方正仿宋简体" w:cs="方正仿宋简体"/>
          <w:b/>
          <w:bCs/>
          <w:sz w:val="32"/>
          <w:szCs w:val="32"/>
        </w:rPr>
        <w:t>注册资本金2000万元</w:t>
      </w:r>
      <w:r>
        <w:rPr>
          <w:rFonts w:hint="eastAsia" w:ascii="Times New Roman" w:hAnsi="Times New Roman" w:eastAsia="方正仿宋简体" w:cs="方正仿宋简体"/>
          <w:b/>
          <w:bCs/>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公司自成立以来，按照市场化、专业化、规范化的管理模式，遵循“安全至上、服质量第一”的企业宗旨</w:t>
      </w:r>
      <w:r>
        <w:rPr>
          <w:rFonts w:hint="eastAsia" w:ascii="Times New Roman" w:hAnsi="Times New Roman" w:eastAsia="方正仿宋简体" w:cs="方正仿宋简体"/>
          <w:b/>
          <w:bCs/>
          <w:sz w:val="32"/>
          <w:szCs w:val="32"/>
        </w:rPr>
        <w:t>，</w:t>
      </w:r>
      <w:r>
        <w:rPr>
          <w:rFonts w:ascii="Times New Roman" w:hAnsi="Times New Roman" w:eastAsia="方正仿宋简体" w:cs="方正仿宋简体"/>
          <w:b/>
          <w:bCs/>
          <w:sz w:val="32"/>
          <w:szCs w:val="32"/>
        </w:rPr>
        <w:t>内部设置了综合部、成本部、财务部、设计部、采购部、营销部、项目部</w:t>
      </w:r>
      <w:r>
        <w:rPr>
          <w:rFonts w:hint="eastAsia" w:ascii="Times New Roman" w:hAnsi="Times New Roman" w:eastAsia="方正仿宋简体" w:cs="方正仿宋简体"/>
          <w:b/>
          <w:bCs/>
          <w:sz w:val="32"/>
          <w:szCs w:val="32"/>
        </w:rPr>
        <w:t>等</w:t>
      </w:r>
      <w:r>
        <w:rPr>
          <w:rFonts w:ascii="Times New Roman" w:hAnsi="Times New Roman" w:eastAsia="方正仿宋简体" w:cs="方正仿宋简体"/>
          <w:b/>
          <w:bCs/>
          <w:sz w:val="32"/>
          <w:szCs w:val="32"/>
        </w:rPr>
        <w:t>部门</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由我公司开发建设的惠民瑞马世家建筑风格为新古典法式风情高品质住区。项目总建筑面积约45万㎡，规划住宅2200余套，绿地率35%，容积率2.0，其中地上建筑面积约31万平方，地下建筑面积约13.9万平方。高层、洋房错落有致，将法式宫廷的尊贵气度完美呈现，打造兖州北城区最美的天际线。</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企业名称：济宁公用惠民瑞马置业有限公司</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注册地址：济宁市兖州区鼓楼街道办事处中御桥北路东侧、文化东路北侧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登记机关：济宁市兖州区行政审批服务局</w:t>
      </w:r>
    </w:p>
    <w:p>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经营范围：房地产开发、销售、房屋租赁。（依法须经批准的项目，经相关部门批准后方可开展经营活动）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成立日期：2018年9月13日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公司设执行董事1名，经理1名，副经理1名；设6个部室、1个项目部，分别为：财务部、成本部、营销部、成本部、采购部、综合部、世家项目部。</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9022" w:type="dxa"/>
        <w:jc w:val="center"/>
        <w:tblLayout w:type="fixed"/>
        <w:tblCellMar>
          <w:top w:w="0" w:type="dxa"/>
          <w:left w:w="108" w:type="dxa"/>
          <w:bottom w:w="0" w:type="dxa"/>
          <w:right w:w="108" w:type="dxa"/>
        </w:tblCellMar>
      </w:tblPr>
      <w:tblGrid>
        <w:gridCol w:w="1860"/>
        <w:gridCol w:w="1589"/>
        <w:gridCol w:w="2041"/>
        <w:gridCol w:w="2009"/>
        <w:gridCol w:w="1523"/>
      </w:tblGrid>
      <w:tr>
        <w:tblPrEx>
          <w:tblCellMar>
            <w:top w:w="0" w:type="dxa"/>
            <w:left w:w="108" w:type="dxa"/>
            <w:bottom w:w="0" w:type="dxa"/>
            <w:right w:w="108" w:type="dxa"/>
          </w:tblCellMar>
        </w:tblPrEx>
        <w:trPr>
          <w:trHeight w:val="615" w:hRule="atLeast"/>
          <w:jc w:val="center"/>
        </w:trPr>
        <w:tc>
          <w:tcPr>
            <w:tcW w:w="9022" w:type="dxa"/>
            <w:gridSpan w:val="5"/>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ind w:firstLine="7308" w:firstLineChars="2600"/>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单位：万元</w:t>
            </w:r>
          </w:p>
        </w:tc>
      </w:tr>
      <w:tr>
        <w:tblPrEx>
          <w:tblCellMar>
            <w:top w:w="0" w:type="dxa"/>
            <w:left w:w="108" w:type="dxa"/>
            <w:bottom w:w="0" w:type="dxa"/>
            <w:right w:w="108" w:type="dxa"/>
          </w:tblCellMar>
        </w:tblPrEx>
        <w:trPr>
          <w:trHeight w:val="600" w:hRule="atLeast"/>
          <w:jc w:val="center"/>
        </w:trPr>
        <w:tc>
          <w:tcPr>
            <w:tcW w:w="186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项目</w:t>
            </w:r>
          </w:p>
        </w:tc>
        <w:tc>
          <w:tcPr>
            <w:tcW w:w="158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 xml:space="preserve"> 本期金额 </w:t>
            </w:r>
          </w:p>
        </w:tc>
        <w:tc>
          <w:tcPr>
            <w:tcW w:w="2041"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pacing w:val="-6"/>
                <w:sz w:val="28"/>
                <w:szCs w:val="28"/>
              </w:rPr>
            </w:pPr>
            <w:r>
              <w:rPr>
                <w:rFonts w:hint="default" w:ascii="Times New Roman" w:hAnsi="Times New Roman" w:eastAsia="方正仿宋简体" w:cs="Times New Roman"/>
                <w:b/>
                <w:bCs/>
                <w:color w:val="000000"/>
                <w:spacing w:val="-6"/>
                <w:kern w:val="0"/>
                <w:sz w:val="28"/>
                <w:szCs w:val="28"/>
              </w:rPr>
              <w:t xml:space="preserve"> 年度预算目标 </w:t>
            </w:r>
          </w:p>
        </w:tc>
        <w:tc>
          <w:tcPr>
            <w:tcW w:w="200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pacing w:val="-6"/>
                <w:sz w:val="28"/>
                <w:szCs w:val="28"/>
              </w:rPr>
            </w:pPr>
            <w:r>
              <w:rPr>
                <w:rFonts w:hint="default" w:ascii="Times New Roman" w:hAnsi="Times New Roman" w:eastAsia="方正仿宋简体" w:cs="Times New Roman"/>
                <w:b/>
                <w:bCs/>
                <w:color w:val="000000"/>
                <w:spacing w:val="-6"/>
                <w:kern w:val="0"/>
                <w:sz w:val="28"/>
                <w:szCs w:val="28"/>
              </w:rPr>
              <w:t xml:space="preserve"> 预算完成情况 </w:t>
            </w:r>
          </w:p>
        </w:tc>
        <w:tc>
          <w:tcPr>
            <w:tcW w:w="1523"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 xml:space="preserve"> 上年同期 </w:t>
            </w:r>
          </w:p>
        </w:tc>
      </w:tr>
      <w:tr>
        <w:tblPrEx>
          <w:tblCellMar>
            <w:top w:w="0" w:type="dxa"/>
            <w:left w:w="108" w:type="dxa"/>
            <w:bottom w:w="0" w:type="dxa"/>
            <w:right w:w="108" w:type="dxa"/>
          </w:tblCellMar>
        </w:tblPrEx>
        <w:trPr>
          <w:trHeight w:val="600" w:hRule="atLeast"/>
          <w:jc w:val="center"/>
        </w:trPr>
        <w:tc>
          <w:tcPr>
            <w:tcW w:w="186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营业总收入</w:t>
            </w:r>
          </w:p>
        </w:tc>
        <w:tc>
          <w:tcPr>
            <w:tcW w:w="1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9,160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21,000.00</w:t>
            </w:r>
          </w:p>
        </w:tc>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43.62%</w:t>
            </w:r>
          </w:p>
        </w:tc>
        <w:tc>
          <w:tcPr>
            <w:tcW w:w="15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5,028</w:t>
            </w:r>
          </w:p>
        </w:tc>
      </w:tr>
      <w:tr>
        <w:tblPrEx>
          <w:tblCellMar>
            <w:top w:w="0" w:type="dxa"/>
            <w:left w:w="108" w:type="dxa"/>
            <w:bottom w:w="0" w:type="dxa"/>
            <w:right w:w="108" w:type="dxa"/>
          </w:tblCellMar>
        </w:tblPrEx>
        <w:trPr>
          <w:trHeight w:val="600" w:hRule="atLeast"/>
          <w:jc w:val="center"/>
        </w:trPr>
        <w:tc>
          <w:tcPr>
            <w:tcW w:w="186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营业总成本</w:t>
            </w:r>
          </w:p>
        </w:tc>
        <w:tc>
          <w:tcPr>
            <w:tcW w:w="1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8260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18,253.00</w:t>
            </w:r>
          </w:p>
        </w:tc>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45.25%</w:t>
            </w:r>
          </w:p>
        </w:tc>
        <w:tc>
          <w:tcPr>
            <w:tcW w:w="15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4947</w:t>
            </w:r>
          </w:p>
        </w:tc>
      </w:tr>
      <w:tr>
        <w:tblPrEx>
          <w:tblCellMar>
            <w:top w:w="0" w:type="dxa"/>
            <w:left w:w="108" w:type="dxa"/>
            <w:bottom w:w="0" w:type="dxa"/>
            <w:right w:w="108" w:type="dxa"/>
          </w:tblCellMar>
        </w:tblPrEx>
        <w:trPr>
          <w:trHeight w:val="600" w:hRule="atLeast"/>
          <w:jc w:val="center"/>
        </w:trPr>
        <w:tc>
          <w:tcPr>
            <w:tcW w:w="186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利润总额</w:t>
            </w:r>
          </w:p>
        </w:tc>
        <w:tc>
          <w:tcPr>
            <w:tcW w:w="1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900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2,747.00</w:t>
            </w:r>
          </w:p>
        </w:tc>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32.76%</w:t>
            </w:r>
          </w:p>
        </w:tc>
        <w:tc>
          <w:tcPr>
            <w:tcW w:w="15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81</w:t>
            </w:r>
          </w:p>
        </w:tc>
      </w:tr>
      <w:tr>
        <w:tblPrEx>
          <w:tblCellMar>
            <w:top w:w="0" w:type="dxa"/>
            <w:left w:w="108" w:type="dxa"/>
            <w:bottom w:w="0" w:type="dxa"/>
            <w:right w:w="108" w:type="dxa"/>
          </w:tblCellMar>
        </w:tblPrEx>
        <w:trPr>
          <w:trHeight w:val="600" w:hRule="atLeast"/>
          <w:jc w:val="center"/>
        </w:trPr>
        <w:tc>
          <w:tcPr>
            <w:tcW w:w="186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净利润</w:t>
            </w:r>
          </w:p>
        </w:tc>
        <w:tc>
          <w:tcPr>
            <w:tcW w:w="1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759</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2,060.00</w:t>
            </w:r>
          </w:p>
        </w:tc>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36.84%</w:t>
            </w:r>
          </w:p>
        </w:tc>
        <w:tc>
          <w:tcPr>
            <w:tcW w:w="15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61</w:t>
            </w:r>
          </w:p>
        </w:tc>
      </w:tr>
      <w:tr>
        <w:tblPrEx>
          <w:tblCellMar>
            <w:top w:w="0" w:type="dxa"/>
            <w:left w:w="108" w:type="dxa"/>
            <w:bottom w:w="0" w:type="dxa"/>
            <w:right w:w="108" w:type="dxa"/>
          </w:tblCellMar>
        </w:tblPrEx>
        <w:trPr>
          <w:trHeight w:val="600" w:hRule="atLeast"/>
          <w:jc w:val="center"/>
        </w:trPr>
        <w:tc>
          <w:tcPr>
            <w:tcW w:w="186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资产总额</w:t>
            </w:r>
          </w:p>
        </w:tc>
        <w:tc>
          <w:tcPr>
            <w:tcW w:w="1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51,089</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35,000.00</w:t>
            </w:r>
          </w:p>
        </w:tc>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145.97%</w:t>
            </w:r>
          </w:p>
        </w:tc>
        <w:tc>
          <w:tcPr>
            <w:tcW w:w="15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100,873</w:t>
            </w:r>
          </w:p>
        </w:tc>
      </w:tr>
      <w:tr>
        <w:tblPrEx>
          <w:tblCellMar>
            <w:top w:w="0" w:type="dxa"/>
            <w:left w:w="108" w:type="dxa"/>
            <w:bottom w:w="0" w:type="dxa"/>
            <w:right w:w="108" w:type="dxa"/>
          </w:tblCellMar>
        </w:tblPrEx>
        <w:trPr>
          <w:trHeight w:val="600" w:hRule="atLeast"/>
          <w:jc w:val="center"/>
        </w:trPr>
        <w:tc>
          <w:tcPr>
            <w:tcW w:w="186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负债总额</w:t>
            </w:r>
          </w:p>
        </w:tc>
        <w:tc>
          <w:tcPr>
            <w:tcW w:w="1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45,061</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27,670.86</w:t>
            </w:r>
          </w:p>
        </w:tc>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162.85%</w:t>
            </w:r>
          </w:p>
        </w:tc>
        <w:tc>
          <w:tcPr>
            <w:tcW w:w="15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100,276</w:t>
            </w:r>
          </w:p>
        </w:tc>
      </w:tr>
      <w:tr>
        <w:tblPrEx>
          <w:tblCellMar>
            <w:top w:w="0" w:type="dxa"/>
            <w:left w:w="108" w:type="dxa"/>
            <w:bottom w:w="0" w:type="dxa"/>
            <w:right w:w="108" w:type="dxa"/>
          </w:tblCellMar>
        </w:tblPrEx>
        <w:trPr>
          <w:trHeight w:val="600" w:hRule="atLeast"/>
          <w:jc w:val="center"/>
        </w:trPr>
        <w:tc>
          <w:tcPr>
            <w:tcW w:w="1860"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所有者权益</w:t>
            </w:r>
          </w:p>
        </w:tc>
        <w:tc>
          <w:tcPr>
            <w:tcW w:w="158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6,028</w:t>
            </w:r>
          </w:p>
        </w:tc>
        <w:tc>
          <w:tcPr>
            <w:tcW w:w="204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7,329.14</w:t>
            </w:r>
          </w:p>
        </w:tc>
        <w:tc>
          <w:tcPr>
            <w:tcW w:w="200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82.25%</w:t>
            </w:r>
          </w:p>
        </w:tc>
        <w:tc>
          <w:tcPr>
            <w:tcW w:w="152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597</w:t>
            </w:r>
          </w:p>
        </w:tc>
      </w:tr>
    </w:tbl>
    <w:p>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ascii="Times New Roman" w:hAnsi="Times New Roman" w:eastAsia="方正黑体简体" w:cs="Times New Roman"/>
          <w:b/>
          <w:bCs/>
          <w:sz w:val="32"/>
          <w:szCs w:val="32"/>
        </w:rPr>
      </w:pPr>
      <w:r>
        <w:rPr>
          <w:rFonts w:hint="eastAsia" w:ascii="Times New Roman" w:hAnsi="Times New Roman" w:eastAsia="方正仿宋简体" w:cs="方正仿宋简体"/>
          <w:b/>
          <w:bCs/>
          <w:color w:val="auto"/>
          <w:kern w:val="2"/>
          <w:sz w:val="32"/>
          <w:szCs w:val="32"/>
          <w:lang w:val="en-US" w:eastAsia="zh-CN"/>
        </w:rPr>
        <w:t>2024年第一季度</w:t>
      </w:r>
      <w:r>
        <w:rPr>
          <w:rFonts w:hint="eastAsia" w:ascii="Times New Roman" w:hAnsi="Times New Roman" w:eastAsia="方正仿宋简体" w:cs="方正仿宋简体"/>
          <w:b/>
          <w:bCs/>
          <w:color w:val="auto"/>
          <w:kern w:val="2"/>
          <w:sz w:val="32"/>
          <w:szCs w:val="32"/>
        </w:rPr>
        <w:t>累计实现营业收入</w:t>
      </w:r>
      <w:r>
        <w:rPr>
          <w:rFonts w:hint="eastAsia" w:ascii="Times New Roman" w:hAnsi="Times New Roman" w:eastAsia="方正仿宋简体" w:cs="方正仿宋简体"/>
          <w:b/>
          <w:bCs/>
          <w:color w:val="auto"/>
          <w:kern w:val="2"/>
          <w:sz w:val="32"/>
          <w:szCs w:val="32"/>
          <w:lang w:val="en-US" w:eastAsia="zh-CN"/>
        </w:rPr>
        <w:t>9160万</w:t>
      </w:r>
      <w:r>
        <w:rPr>
          <w:rFonts w:hint="eastAsia"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2.1</w:t>
      </w:r>
      <w:r>
        <w:rPr>
          <w:rFonts w:hint="eastAsia"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43.62</w:t>
      </w:r>
      <w:r>
        <w:rPr>
          <w:rFonts w:hint="eastAsia"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900</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2747</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32.76</w:t>
      </w:r>
      <w:r>
        <w:rPr>
          <w:rFonts w:hint="eastAsia"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759</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2060</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36.84</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3</w:t>
      </w:r>
      <w:r>
        <w:rPr>
          <w:rFonts w:hint="eastAsia" w:ascii="Times New Roman" w:hAnsi="Times New Roman" w:eastAsia="方正仿宋简体" w:cs="方正仿宋简体"/>
          <w:b/>
          <w:bCs/>
          <w:color w:val="auto"/>
          <w:kern w:val="2"/>
          <w:sz w:val="32"/>
          <w:szCs w:val="32"/>
        </w:rPr>
        <w:t>月底资产负债率</w:t>
      </w:r>
      <w:r>
        <w:rPr>
          <w:rFonts w:hint="eastAsia" w:ascii="Times New Roman" w:hAnsi="Times New Roman" w:eastAsia="方正仿宋简体" w:cs="方正仿宋简体"/>
          <w:b/>
          <w:bCs/>
          <w:color w:val="auto"/>
          <w:kern w:val="2"/>
          <w:sz w:val="32"/>
          <w:szCs w:val="32"/>
          <w:lang w:val="en-US" w:eastAsia="zh-CN"/>
        </w:rPr>
        <w:t>88.2</w:t>
      </w:r>
      <w:r>
        <w:rPr>
          <w:rFonts w:hint="eastAsia" w:ascii="Times New Roman" w:hAnsi="Times New Roman" w:eastAsia="方正仿宋简体" w:cs="方正仿宋简体"/>
          <w:b/>
          <w:bCs/>
          <w:color w:val="auto"/>
          <w:kern w:val="2"/>
          <w:sz w:val="32"/>
          <w:szCs w:val="32"/>
        </w:rPr>
        <w:t>%，比去年同期的</w:t>
      </w:r>
      <w:r>
        <w:rPr>
          <w:rFonts w:hint="eastAsia" w:ascii="Times New Roman" w:hAnsi="Times New Roman" w:eastAsia="方正仿宋简体" w:cs="方正仿宋简体"/>
          <w:b/>
          <w:bCs/>
          <w:color w:val="auto"/>
          <w:kern w:val="2"/>
          <w:sz w:val="32"/>
          <w:szCs w:val="32"/>
          <w:lang w:val="en-US" w:eastAsia="zh-CN"/>
        </w:rPr>
        <w:t>99.4</w:t>
      </w:r>
      <w:r>
        <w:rPr>
          <w:rFonts w:hint="eastAsia" w:ascii="Times New Roman" w:hAnsi="Times New Roman" w:eastAsia="方正仿宋简体" w:cs="方正仿宋简体"/>
          <w:b/>
          <w:bCs/>
          <w:color w:val="auto"/>
          <w:kern w:val="2"/>
          <w:sz w:val="32"/>
          <w:szCs w:val="32"/>
        </w:rPr>
        <w:t>%下降了</w:t>
      </w:r>
      <w:r>
        <w:rPr>
          <w:rFonts w:hint="eastAsia" w:ascii="Times New Roman" w:hAnsi="Times New Roman" w:eastAsia="方正仿宋简体" w:cs="方正仿宋简体"/>
          <w:b/>
          <w:bCs/>
          <w:color w:val="auto"/>
          <w:kern w:val="2"/>
          <w:sz w:val="32"/>
          <w:szCs w:val="32"/>
          <w:lang w:val="en-US" w:eastAsia="zh-CN"/>
        </w:rPr>
        <w:t>11.2</w:t>
      </w:r>
      <w:r>
        <w:rPr>
          <w:rFonts w:hint="eastAsia" w:ascii="Times New Roman" w:hAnsi="Times New Roman" w:eastAsia="方正仿宋简体" w:cs="方正仿宋简体"/>
          <w:b/>
          <w:bCs/>
          <w:color w:val="auto"/>
          <w:kern w:val="2"/>
          <w:sz w:val="32"/>
          <w:szCs w:val="32"/>
        </w:rPr>
        <w:t>个百分点。惠民世家二期</w:t>
      </w:r>
      <w:r>
        <w:rPr>
          <w:rFonts w:hint="eastAsia" w:ascii="Times New Roman" w:hAnsi="Times New Roman" w:eastAsia="方正仿宋简体" w:cs="方正仿宋简体"/>
          <w:b/>
          <w:bCs/>
          <w:color w:val="auto"/>
          <w:kern w:val="2"/>
          <w:sz w:val="32"/>
          <w:szCs w:val="32"/>
          <w:lang w:eastAsia="zh-CN"/>
        </w:rPr>
        <w:t>上年</w:t>
      </w:r>
      <w:r>
        <w:rPr>
          <w:rFonts w:hint="eastAsia" w:ascii="Times New Roman" w:hAnsi="Times New Roman" w:eastAsia="方正仿宋简体" w:cs="方正仿宋简体"/>
          <w:b/>
          <w:bCs/>
          <w:color w:val="auto"/>
          <w:kern w:val="2"/>
          <w:sz w:val="32"/>
          <w:szCs w:val="32"/>
          <w:lang w:val="en-US" w:eastAsia="zh-CN"/>
        </w:rPr>
        <w:t>7月底集中交房</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逐步实现</w:t>
      </w:r>
      <w:r>
        <w:rPr>
          <w:rFonts w:hint="eastAsia" w:ascii="Times New Roman" w:hAnsi="Times New Roman" w:eastAsia="方正仿宋简体" w:cs="方正仿宋简体"/>
          <w:b/>
          <w:bCs/>
          <w:color w:val="auto"/>
          <w:kern w:val="2"/>
          <w:sz w:val="32"/>
          <w:szCs w:val="32"/>
        </w:rPr>
        <w:t>收入及利润结转。</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yMzk4NDc4ZDg3MDdjNTI1ZDY3MjM1YzJkYmFhNjM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30A01E2"/>
    <w:rsid w:val="04C07E5F"/>
    <w:rsid w:val="068454A2"/>
    <w:rsid w:val="06D01345"/>
    <w:rsid w:val="088D6BCC"/>
    <w:rsid w:val="0E1625D1"/>
    <w:rsid w:val="14DA60E1"/>
    <w:rsid w:val="176E0FB5"/>
    <w:rsid w:val="19560A59"/>
    <w:rsid w:val="1B6E1071"/>
    <w:rsid w:val="1C496371"/>
    <w:rsid w:val="1C8F2AE8"/>
    <w:rsid w:val="1D0A2792"/>
    <w:rsid w:val="21785B44"/>
    <w:rsid w:val="25486BE3"/>
    <w:rsid w:val="26A93DBD"/>
    <w:rsid w:val="279D55DA"/>
    <w:rsid w:val="27F03E2A"/>
    <w:rsid w:val="28716ED4"/>
    <w:rsid w:val="28E8704B"/>
    <w:rsid w:val="290C75C1"/>
    <w:rsid w:val="29D47C5C"/>
    <w:rsid w:val="2A4822AF"/>
    <w:rsid w:val="2E8D617B"/>
    <w:rsid w:val="2EF22242"/>
    <w:rsid w:val="32777821"/>
    <w:rsid w:val="33180B55"/>
    <w:rsid w:val="334308AF"/>
    <w:rsid w:val="33C41072"/>
    <w:rsid w:val="3601249A"/>
    <w:rsid w:val="393F1DF5"/>
    <w:rsid w:val="39AE61CA"/>
    <w:rsid w:val="3D910776"/>
    <w:rsid w:val="3DF23407"/>
    <w:rsid w:val="3EA017DC"/>
    <w:rsid w:val="3FBD419A"/>
    <w:rsid w:val="419C0824"/>
    <w:rsid w:val="41B757E9"/>
    <w:rsid w:val="41DF55AC"/>
    <w:rsid w:val="428C50F8"/>
    <w:rsid w:val="432F1892"/>
    <w:rsid w:val="43742EF4"/>
    <w:rsid w:val="44244964"/>
    <w:rsid w:val="455B3491"/>
    <w:rsid w:val="47353B60"/>
    <w:rsid w:val="47510149"/>
    <w:rsid w:val="4B8F5F5B"/>
    <w:rsid w:val="4EEF2F58"/>
    <w:rsid w:val="52DF6C8B"/>
    <w:rsid w:val="536B2CB8"/>
    <w:rsid w:val="57404164"/>
    <w:rsid w:val="576B5048"/>
    <w:rsid w:val="5A407308"/>
    <w:rsid w:val="5AD277FB"/>
    <w:rsid w:val="5BA2258D"/>
    <w:rsid w:val="5D40272A"/>
    <w:rsid w:val="5DA0538F"/>
    <w:rsid w:val="5E145AF2"/>
    <w:rsid w:val="5F412942"/>
    <w:rsid w:val="5FA47421"/>
    <w:rsid w:val="60785E58"/>
    <w:rsid w:val="60B90048"/>
    <w:rsid w:val="61B5226F"/>
    <w:rsid w:val="66792F89"/>
    <w:rsid w:val="66EC3CFC"/>
    <w:rsid w:val="6A5519A2"/>
    <w:rsid w:val="6C305B70"/>
    <w:rsid w:val="6CD01971"/>
    <w:rsid w:val="6CDE381E"/>
    <w:rsid w:val="6D8C75E7"/>
    <w:rsid w:val="6F481423"/>
    <w:rsid w:val="71D022E5"/>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766</Words>
  <Characters>1020</Characters>
  <Lines>7</Lines>
  <Paragraphs>2</Paragraphs>
  <TotalTime>1</TotalTime>
  <ScaleCrop>false</ScaleCrop>
  <LinksUpToDate>false</LinksUpToDate>
  <CharactersWithSpaces>1103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2024-04-29T09:44:04Z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5608CA5D181C4DD69F20942CE45907EA_13</vt:lpwstr>
  </property>
  <property fmtid="{D5CDD505-2E9C-101B-9397-08002B2CF9AE}" pid="4" name="commondata">
    <vt:lpwstr>eyJoZGlkIjoiMzIxYmMwMDJkYjZiMmFlYzdhY2YzYTliOWFhN2UxMzIifQ==</vt:lpwstr>
  </property>
</Properties>
</file>