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第一季度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9060" w:type="dxa"/>
        <w:jc w:val="center"/>
        <w:tblLayout w:type="fixed"/>
        <w:tblCellMar>
          <w:top w:w="0" w:type="dxa"/>
          <w:left w:w="108" w:type="dxa"/>
          <w:bottom w:w="0" w:type="dxa"/>
          <w:right w:w="108" w:type="dxa"/>
        </w:tblCellMar>
      </w:tblPr>
      <w:tblGrid>
        <w:gridCol w:w="1809"/>
        <w:gridCol w:w="1644"/>
        <w:gridCol w:w="1950"/>
        <w:gridCol w:w="1932"/>
        <w:gridCol w:w="1725"/>
      </w:tblGrid>
      <w:tr>
        <w:tblPrEx>
          <w:tblCellMar>
            <w:top w:w="0" w:type="dxa"/>
            <w:left w:w="108" w:type="dxa"/>
            <w:bottom w:w="0" w:type="dxa"/>
            <w:right w:w="108" w:type="dxa"/>
          </w:tblCellMar>
        </w:tblPrEx>
        <w:trPr>
          <w:trHeight w:val="525" w:hRule="atLeast"/>
          <w:jc w:val="center"/>
        </w:trPr>
        <w:tc>
          <w:tcPr>
            <w:tcW w:w="9060" w:type="dxa"/>
            <w:gridSpan w:val="5"/>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w:t>
            </w:r>
            <w:r>
              <w:rPr>
                <w:rFonts w:hint="eastAsia" w:ascii="Times New Roman" w:hAnsi="Times New Roman" w:eastAsia="方正仿宋简体" w:cs="Times New Roman"/>
                <w:b/>
                <w:bCs/>
                <w:color w:val="000000"/>
                <w:kern w:val="0"/>
                <w:sz w:val="28"/>
                <w:szCs w:val="28"/>
                <w:lang w:val="en-US" w:eastAsia="zh-CN"/>
              </w:rPr>
              <w:t xml:space="preserve">       </w:t>
            </w:r>
            <w:r>
              <w:rPr>
                <w:rFonts w:hint="default" w:ascii="Times New Roman" w:hAnsi="Times New Roman" w:eastAsia="方正仿宋简体" w:cs="Times New Roman"/>
                <w:b/>
                <w:bCs/>
                <w:color w:val="000000"/>
                <w:kern w:val="0"/>
                <w:sz w:val="28"/>
                <w:szCs w:val="28"/>
              </w:rPr>
              <w:t xml:space="preserve">     </w:t>
            </w:r>
            <w:r>
              <w:rPr>
                <w:rFonts w:hint="eastAsia" w:ascii="Times New Roman" w:hAnsi="Times New Roman" w:eastAsia="方正仿宋简体" w:cs="Times New Roman"/>
                <w:b/>
                <w:bCs/>
                <w:color w:val="000000"/>
                <w:kern w:val="0"/>
                <w:sz w:val="28"/>
                <w:szCs w:val="28"/>
                <w:lang w:val="en-US" w:eastAsia="zh-CN"/>
              </w:rPr>
              <w:t xml:space="preserve">         </w:t>
            </w:r>
            <w:r>
              <w:rPr>
                <w:rFonts w:hint="default" w:ascii="Times New Roman" w:hAnsi="Times New Roman" w:eastAsia="方正仿宋简体" w:cs="Times New Roman"/>
                <w:b/>
                <w:bCs/>
                <w:color w:val="000000"/>
                <w:kern w:val="0"/>
                <w:sz w:val="28"/>
                <w:szCs w:val="28"/>
              </w:rPr>
              <w:t>单位：万元</w:t>
            </w:r>
          </w:p>
        </w:tc>
      </w:tr>
      <w:tr>
        <w:tblPrEx>
          <w:tblCellMar>
            <w:top w:w="0" w:type="dxa"/>
            <w:left w:w="108" w:type="dxa"/>
            <w:bottom w:w="0" w:type="dxa"/>
            <w:right w:w="108" w:type="dxa"/>
          </w:tblCellMar>
        </w:tblPrEx>
        <w:trPr>
          <w:trHeight w:val="600" w:hRule="atLeast"/>
          <w:jc w:val="center"/>
        </w:trPr>
        <w:tc>
          <w:tcPr>
            <w:tcW w:w="1809"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项目</w:t>
            </w:r>
          </w:p>
        </w:tc>
        <w:tc>
          <w:tcPr>
            <w:tcW w:w="1644"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本期金额 </w:t>
            </w:r>
          </w:p>
        </w:tc>
        <w:tc>
          <w:tcPr>
            <w:tcW w:w="19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pacing w:val="-11"/>
                <w:sz w:val="28"/>
                <w:szCs w:val="28"/>
              </w:rPr>
            </w:pPr>
            <w:r>
              <w:rPr>
                <w:rFonts w:hint="default" w:ascii="Times New Roman" w:hAnsi="Times New Roman" w:eastAsia="方正仿宋简体" w:cs="Times New Roman"/>
                <w:b/>
                <w:bCs/>
                <w:color w:val="000000"/>
                <w:spacing w:val="-11"/>
                <w:kern w:val="0"/>
                <w:sz w:val="28"/>
                <w:szCs w:val="28"/>
              </w:rPr>
              <w:t xml:space="preserve"> 年度预算目标 </w:t>
            </w:r>
          </w:p>
        </w:tc>
        <w:tc>
          <w:tcPr>
            <w:tcW w:w="193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pacing w:val="-11"/>
                <w:sz w:val="28"/>
                <w:szCs w:val="28"/>
              </w:rPr>
            </w:pPr>
            <w:r>
              <w:rPr>
                <w:rFonts w:hint="default" w:ascii="Times New Roman" w:hAnsi="Times New Roman" w:eastAsia="方正仿宋简体" w:cs="Times New Roman"/>
                <w:b/>
                <w:bCs/>
                <w:color w:val="000000"/>
                <w:spacing w:val="-11"/>
                <w:kern w:val="0"/>
                <w:sz w:val="28"/>
                <w:szCs w:val="28"/>
              </w:rPr>
              <w:t xml:space="preserve"> 预算完成情况 </w:t>
            </w:r>
          </w:p>
        </w:tc>
        <w:tc>
          <w:tcPr>
            <w:tcW w:w="172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上年同期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营业总收入</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18,749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37,987.83</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49.36%</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26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营业总成本</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14133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30,481.52 </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46.37%</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247.63</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利润总额</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4,626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7,509.81 </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61.60%</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-220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净利润</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4,006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5,632.36 </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71.12%</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-220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资产总额</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233,805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224,815.37</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104.00%</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220,382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负债总额</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229,946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219,466.59 </w:t>
            </w:r>
          </w:p>
        </w:tc>
        <w:tc>
          <w:tcPr>
            <w:tcW w:w="1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104.77%</w:t>
            </w:r>
          </w:p>
        </w:tc>
        <w:tc>
          <w:tcPr>
            <w:tcW w:w="172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221,188 </w:t>
            </w:r>
          </w:p>
        </w:tc>
      </w:tr>
      <w:tr>
        <w:tblPrEx>
          <w:tblCellMar>
            <w:top w:w="0" w:type="dxa"/>
            <w:left w:w="108" w:type="dxa"/>
            <w:bottom w:w="0" w:type="dxa"/>
            <w:right w:w="108" w:type="dxa"/>
          </w:tblCellMar>
        </w:tblPrEx>
        <w:trPr>
          <w:trHeight w:val="600" w:hRule="atLeast"/>
          <w:jc w:val="center"/>
        </w:trPr>
        <w:tc>
          <w:tcPr>
            <w:tcW w:w="1809"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所有者权益</w:t>
            </w:r>
          </w:p>
        </w:tc>
        <w:tc>
          <w:tcPr>
            <w:tcW w:w="164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3,859 </w:t>
            </w:r>
          </w:p>
        </w:tc>
        <w:tc>
          <w:tcPr>
            <w:tcW w:w="195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5,348.78</w:t>
            </w:r>
          </w:p>
        </w:tc>
        <w:tc>
          <w:tcPr>
            <w:tcW w:w="193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72.15%</w:t>
            </w:r>
          </w:p>
        </w:tc>
        <w:tc>
          <w:tcPr>
            <w:tcW w:w="172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 xml:space="preserve"> -806 </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spacing w:line="56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sz w:val="32"/>
          <w:szCs w:val="32"/>
          <w:lang w:val="en-US" w:eastAsia="zh-CN"/>
        </w:rPr>
        <w:t>2024年第一季度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1.87亿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完成全面预算</w:t>
      </w:r>
      <w:r>
        <w:rPr>
          <w:rFonts w:hint="eastAsia" w:ascii="Times New Roman" w:hAnsi="Times New Roman" w:eastAsia="方正仿宋简体" w:cs="方正仿宋简体"/>
          <w:b/>
          <w:bCs/>
          <w:sz w:val="32"/>
          <w:szCs w:val="32"/>
          <w:lang w:val="en-US" w:eastAsia="zh-CN"/>
        </w:rPr>
        <w:t>3.79亿的49.36%</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4626</w:t>
      </w:r>
      <w:r>
        <w:rPr>
          <w:rFonts w:hint="eastAsia" w:ascii="Times New Roman" w:hAnsi="Times New Roman" w:eastAsia="方正仿宋简体" w:cs="方正仿宋简体"/>
          <w:b/>
          <w:bCs/>
          <w:sz w:val="32"/>
          <w:szCs w:val="32"/>
        </w:rPr>
        <w:t>万元，较全年预算目标</w:t>
      </w:r>
      <w:r>
        <w:rPr>
          <w:rFonts w:hint="eastAsia" w:ascii="Times New Roman" w:hAnsi="Times New Roman" w:eastAsia="方正仿宋简体" w:cs="方正仿宋简体"/>
          <w:b/>
          <w:bCs/>
          <w:sz w:val="32"/>
          <w:szCs w:val="32"/>
          <w:lang w:val="en-US" w:eastAsia="zh-CN"/>
        </w:rPr>
        <w:t>7509.81</w:t>
      </w:r>
      <w:r>
        <w:rPr>
          <w:rFonts w:hint="eastAsia" w:ascii="Times New Roman" w:hAnsi="Times New Roman" w:eastAsia="方正仿宋简体" w:cs="方正仿宋简体"/>
          <w:b/>
          <w:bCs/>
          <w:sz w:val="32"/>
          <w:szCs w:val="32"/>
        </w:rPr>
        <w:t>万元完成</w:t>
      </w:r>
      <w:r>
        <w:rPr>
          <w:rFonts w:hint="eastAsia" w:ascii="Times New Roman" w:hAnsi="Times New Roman" w:eastAsia="方正仿宋简体" w:cs="方正仿宋简体"/>
          <w:b/>
          <w:bCs/>
          <w:sz w:val="32"/>
          <w:szCs w:val="32"/>
          <w:lang w:val="en-US" w:eastAsia="zh-CN"/>
        </w:rPr>
        <w:t>61.6</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3</w:t>
      </w:r>
      <w:r>
        <w:rPr>
          <w:rFonts w:hint="eastAsia" w:ascii="Times New Roman" w:hAnsi="Times New Roman" w:eastAsia="方正仿宋简体" w:cs="方正仿宋简体"/>
          <w:b/>
          <w:bCs/>
          <w:sz w:val="32"/>
          <w:szCs w:val="32"/>
        </w:rPr>
        <w:t>月底资产负债率</w:t>
      </w:r>
      <w:r>
        <w:rPr>
          <w:rFonts w:hint="eastAsia" w:ascii="Times New Roman" w:hAnsi="Times New Roman" w:eastAsia="方正仿宋简体" w:cs="方正仿宋简体"/>
          <w:b/>
          <w:bCs/>
          <w:sz w:val="32"/>
          <w:szCs w:val="32"/>
          <w:lang w:val="en-US" w:eastAsia="zh-CN"/>
        </w:rPr>
        <w:t>98.3</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100.4</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2.1</w:t>
      </w:r>
      <w:r>
        <w:rPr>
          <w:rFonts w:hint="eastAsia" w:ascii="Times New Roman" w:hAnsi="Times New Roman" w:eastAsia="方正仿宋简体" w:cs="方正仿宋简体"/>
          <w:b/>
          <w:bCs/>
          <w:sz w:val="32"/>
          <w:szCs w:val="32"/>
        </w:rPr>
        <w:t>个百分点。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OTcwOGM5NmRiNzc4MTI1NTcxZTAwZDMzZTI5MmU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4C07E5F"/>
    <w:rsid w:val="06D01345"/>
    <w:rsid w:val="08246BD0"/>
    <w:rsid w:val="0DD16F1A"/>
    <w:rsid w:val="1626244B"/>
    <w:rsid w:val="19560A59"/>
    <w:rsid w:val="1B346F7E"/>
    <w:rsid w:val="1C496371"/>
    <w:rsid w:val="1C5D2A39"/>
    <w:rsid w:val="1C8F2AE8"/>
    <w:rsid w:val="1FFE67CB"/>
    <w:rsid w:val="21785B44"/>
    <w:rsid w:val="2375417F"/>
    <w:rsid w:val="25486BE3"/>
    <w:rsid w:val="26A93DBD"/>
    <w:rsid w:val="27307EC4"/>
    <w:rsid w:val="27F03E2A"/>
    <w:rsid w:val="28716ED4"/>
    <w:rsid w:val="28E8704B"/>
    <w:rsid w:val="290C75C1"/>
    <w:rsid w:val="29D47C5C"/>
    <w:rsid w:val="2A4822AF"/>
    <w:rsid w:val="2C7D50CC"/>
    <w:rsid w:val="2E8D617B"/>
    <w:rsid w:val="32777821"/>
    <w:rsid w:val="334308AF"/>
    <w:rsid w:val="375932B8"/>
    <w:rsid w:val="39AE61CA"/>
    <w:rsid w:val="3D910776"/>
    <w:rsid w:val="3DC4168B"/>
    <w:rsid w:val="3DF23407"/>
    <w:rsid w:val="3EA017DC"/>
    <w:rsid w:val="3FBD419A"/>
    <w:rsid w:val="419C0824"/>
    <w:rsid w:val="42335C28"/>
    <w:rsid w:val="425E3225"/>
    <w:rsid w:val="44244964"/>
    <w:rsid w:val="444B4611"/>
    <w:rsid w:val="455B3491"/>
    <w:rsid w:val="4BCB5DD0"/>
    <w:rsid w:val="4EEF2F58"/>
    <w:rsid w:val="4FB8342C"/>
    <w:rsid w:val="52DF6C8B"/>
    <w:rsid w:val="536B2CB8"/>
    <w:rsid w:val="57404164"/>
    <w:rsid w:val="576B5048"/>
    <w:rsid w:val="5AA17B99"/>
    <w:rsid w:val="5AD277FB"/>
    <w:rsid w:val="5C24341D"/>
    <w:rsid w:val="5E145AF2"/>
    <w:rsid w:val="5F412942"/>
    <w:rsid w:val="5FA47421"/>
    <w:rsid w:val="60785E58"/>
    <w:rsid w:val="61B5226F"/>
    <w:rsid w:val="66792F89"/>
    <w:rsid w:val="66EC3CFC"/>
    <w:rsid w:val="692A1D76"/>
    <w:rsid w:val="6A5519A2"/>
    <w:rsid w:val="6C305B70"/>
    <w:rsid w:val="6CDE381E"/>
    <w:rsid w:val="6D8C75E7"/>
    <w:rsid w:val="6E19256C"/>
    <w:rsid w:val="6F386241"/>
    <w:rsid w:val="6F481423"/>
    <w:rsid w:val="71D022E5"/>
    <w:rsid w:val="73E963DB"/>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856</Words>
  <Characters>1074</Characters>
  <Lines>8</Lines>
  <Paragraphs>2</Paragraphs>
  <TotalTime>7</TotalTime>
  <ScaleCrop>false</ScaleCrop>
  <LinksUpToDate>false</LinksUpToDate>
  <CharactersWithSpaces>1171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2024-04-29T09:47:46Z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ies>
</file>