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center"/>
        <w:rPr>
          <w:rFonts w:ascii="Times New Roman" w:hAnsi="Times New Roman" w:eastAsia="方正小标宋简体" w:cs="方正小标宋简体"/>
          <w:b/>
          <w:bCs/>
          <w:sz w:val="44"/>
          <w:szCs w:val="44"/>
        </w:rPr>
      </w:pP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 xml:space="preserve">山东济宁公用房地产开发有限公司 </w:t>
      </w:r>
    </w:p>
    <w:p>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sz w:val="44"/>
          <w:szCs w:val="44"/>
        </w:rPr>
      </w:pPr>
      <w:r>
        <w:rPr>
          <w:rFonts w:hint="eastAsia" w:ascii="Times New Roman" w:hAnsi="Times New Roman" w:eastAsia="方正小标宋简体" w:cs="方正小标宋简体"/>
          <w:b/>
          <w:bCs/>
          <w:sz w:val="44"/>
          <w:szCs w:val="44"/>
        </w:rPr>
        <w:t>202</w:t>
      </w:r>
      <w:r>
        <w:rPr>
          <w:rFonts w:hint="eastAsia" w:ascii="Times New Roman" w:hAnsi="Times New Roman" w:eastAsia="方正小标宋简体" w:cs="方正小标宋简体"/>
          <w:b/>
          <w:bCs/>
          <w:sz w:val="44"/>
          <w:szCs w:val="44"/>
          <w:lang w:val="en-US" w:eastAsia="zh-CN"/>
        </w:rPr>
        <w:t>4</w:t>
      </w:r>
      <w:r>
        <w:rPr>
          <w:rFonts w:hint="eastAsia" w:ascii="Times New Roman" w:hAnsi="Times New Roman" w:eastAsia="方正小标宋简体" w:cs="方正小标宋简体"/>
          <w:b/>
          <w:bCs/>
          <w:sz w:val="44"/>
          <w:szCs w:val="44"/>
        </w:rPr>
        <w:t>年</w:t>
      </w:r>
      <w:r>
        <w:rPr>
          <w:rFonts w:hint="eastAsia" w:ascii="Times New Roman" w:hAnsi="Times New Roman" w:eastAsia="方正小标宋简体" w:cs="方正小标宋简体"/>
          <w:b/>
          <w:bCs/>
          <w:sz w:val="44"/>
          <w:szCs w:val="44"/>
          <w:lang w:val="en-US" w:eastAsia="zh-CN"/>
        </w:rPr>
        <w:t>第一季度</w:t>
      </w:r>
      <w:r>
        <w:rPr>
          <w:rFonts w:hint="eastAsia" w:ascii="Times New Roman" w:hAnsi="Times New Roman" w:eastAsia="方正小标宋简体" w:cs="方正小标宋简体"/>
          <w:b/>
          <w:bCs/>
          <w:sz w:val="44"/>
          <w:szCs w:val="44"/>
        </w:rPr>
        <w:t>财务等重大信息公开</w:t>
      </w:r>
    </w:p>
    <w:p>
      <w:pPr>
        <w:spacing w:line="600" w:lineRule="exact"/>
        <w:rPr>
          <w:rFonts w:ascii="Times New Roman" w:hAnsi="Times New Roman" w:eastAsia="方正小标宋简体" w:cs="Times New Roman"/>
          <w:b/>
          <w:bCs/>
          <w:sz w:val="32"/>
          <w:szCs w:val="32"/>
        </w:rPr>
      </w:pPr>
    </w:p>
    <w:p>
      <w:pPr>
        <w:numPr>
          <w:ilvl w:val="0"/>
          <w:numId w:val="1"/>
        </w:numPr>
        <w:snapToGrid w:val="0"/>
        <w:spacing w:line="600" w:lineRule="exact"/>
        <w:ind w:firstLine="643" w:firstLineChars="200"/>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 xml:space="preserve">公司基本情况 </w:t>
      </w:r>
    </w:p>
    <w:p>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（一）企业简介</w:t>
      </w:r>
    </w:p>
    <w:p>
      <w:pPr>
        <w:spacing w:line="560" w:lineRule="exact"/>
        <w:ind w:firstLine="643" w:firstLineChars="200"/>
        <w:rPr>
          <w:rFonts w:ascii="Times New Roman" w:hAnsi="Times New Roman" w:eastAsia="方正仿宋简体" w:cs="方正仿宋简体"/>
          <w:b/>
          <w:bCs/>
          <w:sz w:val="32"/>
          <w:szCs w:val="32"/>
        </w:rPr>
      </w:pPr>
      <w:r>
        <w:rPr>
          <w:rFonts w:ascii="Times New Roman" w:hAnsi="Times New Roman" w:eastAsia="方正仿宋简体" w:cs="方正仿宋简体"/>
          <w:b/>
          <w:bCs/>
          <w:sz w:val="32"/>
          <w:szCs w:val="32"/>
        </w:rPr>
        <w:t>山东济宁公用房地产开发有限公司2010年10月26日成立，现为山东公用置业集团有限公司权属子公司。</w:t>
      </w:r>
    </w:p>
    <w:p>
      <w:pPr>
        <w:spacing w:line="560" w:lineRule="exact"/>
        <w:ind w:firstLine="643" w:firstLineChars="200"/>
        <w:rPr>
          <w:rFonts w:ascii="Times New Roman" w:hAnsi="Times New Roman" w:eastAsiaTheme="majorEastAsia" w:cstheme="majorEastAsia"/>
          <w:b/>
          <w:bCs/>
          <w:sz w:val="32"/>
          <w:szCs w:val="32"/>
        </w:rPr>
      </w:pPr>
      <w:r>
        <w:rPr>
          <w:rFonts w:ascii="Times New Roman" w:hAnsi="Times New Roman" w:eastAsia="方正仿宋简体" w:cs="方正仿宋简体"/>
          <w:b/>
          <w:bCs/>
          <w:sz w:val="32"/>
          <w:szCs w:val="32"/>
        </w:rPr>
        <w:t>公司成立以来，以“树立品牌形象，建设优质工程，打造诚信企业”为宗旨，坚持以“市场为导向、开发为重点、经营为龙头、质量为根本”的开发理念和经营方针，积极打造优质环保工程，走品牌化道路。2014年成功开发太白湖区清泉美景住宅片区，建设有多栋高层住宅建筑、公共建筑、商务和商业建筑，满足不同人群对高品质居住和商务办公环境的需求。清泉美景二期商务片区</w:t>
      </w:r>
      <w:r>
        <w:rPr>
          <w:rFonts w:hint="eastAsia" w:ascii="Times New Roman" w:hAnsi="Times New Roman" w:eastAsia="方正仿宋简体" w:cs="方正仿宋简体"/>
          <w:b/>
          <w:bCs/>
          <w:sz w:val="32"/>
          <w:szCs w:val="32"/>
        </w:rPr>
        <w:t>目前</w:t>
      </w:r>
      <w:r>
        <w:rPr>
          <w:rFonts w:ascii="Times New Roman" w:hAnsi="Times New Roman" w:eastAsia="方正仿宋简体" w:cs="方正仿宋简体"/>
          <w:b/>
          <w:bCs/>
          <w:sz w:val="32"/>
          <w:szCs w:val="32"/>
        </w:rPr>
        <w:t>正在建设中。</w:t>
      </w:r>
      <w:r>
        <w:rPr>
          <w:rFonts w:hint="eastAsia" w:ascii="Times New Roman" w:hAnsi="Times New Roman" w:eastAsia="方正仿宋简体" w:cs="方正仿宋简体"/>
          <w:b/>
          <w:bCs/>
          <w:sz w:val="32"/>
          <w:szCs w:val="32"/>
        </w:rPr>
        <w:t>该项目一期</w:t>
      </w:r>
      <w:r>
        <w:rPr>
          <w:rFonts w:ascii="Times New Roman" w:hAnsi="Times New Roman" w:eastAsia="方正仿宋简体" w:cs="方正仿宋简体"/>
          <w:b/>
          <w:bCs/>
          <w:sz w:val="32"/>
          <w:szCs w:val="32"/>
        </w:rPr>
        <w:t>住宅工程</w:t>
      </w:r>
      <w:r>
        <w:rPr>
          <w:rFonts w:hint="eastAsia" w:ascii="Times New Roman" w:hAnsi="Times New Roman" w:eastAsia="方正仿宋简体" w:cs="方正仿宋简体"/>
          <w:b/>
          <w:bCs/>
          <w:sz w:val="32"/>
          <w:szCs w:val="32"/>
        </w:rPr>
        <w:t>曾</w:t>
      </w:r>
      <w:r>
        <w:rPr>
          <w:rFonts w:ascii="Times New Roman" w:hAnsi="Times New Roman" w:eastAsia="方正仿宋简体" w:cs="方正仿宋简体"/>
          <w:b/>
          <w:bCs/>
          <w:sz w:val="32"/>
          <w:szCs w:val="32"/>
        </w:rPr>
        <w:t>荣获“山东省建筑业新技术应用示范工程”“山东省建筑施工安全文明小区”“山东省、济宁市优质结构”“运河杯”“沂蒙杯”等荣誉。2018年8月与九巨龙房地产开发集团有限公司合资共同开发梁山龙城公馆、高新区理想城项目。公司致力于开发高档精品楼盘，致力于优化济宁人居环境，致力于精心为客户提供全方位、高品质的良好服务。在经营管理中，积极探索与市场机制相适应的经营策略，坚持秉承力求创新，以国家政策为指导，充分发挥国有企业的资源优势，以市场为主导，以客户的需求和满意为目标，以质量占领市场，以服务赢得人心的经营理念，努力为济宁人民提供优雅的温馨家园。</w:t>
      </w:r>
    </w:p>
    <w:p>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（二）企业基本信息</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企业名称：山东济宁公用房地产开发有限公司</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企业类型：有限责任公司</w:t>
      </w:r>
    </w:p>
    <w:p>
      <w:pPr>
        <w:spacing w:line="560" w:lineRule="exact"/>
        <w:ind w:left="2207" w:leftChars="286" w:hanging="1606" w:hangingChars="5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经营范围：房地产开发与经营（凭资质开展经营）、房屋出租。（依法须经批准的项目，经相关部门批准后开展经营活动）</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成立日期：2010年10月26日</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注册地址：济宁高新区327国道南火炬工业园内</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登记机关：济宁高新技术产业开发区行政审批服务局</w:t>
      </w:r>
    </w:p>
    <w:p>
      <w:pPr>
        <w:spacing w:line="560" w:lineRule="exact"/>
        <w:ind w:firstLine="643" w:firstLineChars="200"/>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（三）机构设置</w:t>
      </w:r>
    </w:p>
    <w:p>
      <w:pPr>
        <w:spacing w:line="560" w:lineRule="exact"/>
        <w:ind w:firstLine="643" w:firstLineChars="200"/>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公司设董事会，董事5人、董事长1人、监事1人；经理层4人。</w:t>
      </w:r>
    </w:p>
    <w:p>
      <w:pPr>
        <w:numPr>
          <w:ilvl w:val="0"/>
          <w:numId w:val="1"/>
        </w:numPr>
        <w:snapToGrid w:val="0"/>
        <w:spacing w:line="600" w:lineRule="exact"/>
        <w:ind w:firstLine="643" w:firstLineChars="200"/>
        <w:rPr>
          <w:rFonts w:ascii="Times New Roman" w:hAnsi="Times New Roman" w:eastAsia="方正黑体简体" w:cs="Times New Roman"/>
          <w:b/>
          <w:sz w:val="32"/>
          <w:szCs w:val="32"/>
        </w:rPr>
      </w:pPr>
      <w:r>
        <w:rPr>
          <w:rFonts w:ascii="Times New Roman" w:hAnsi="Times New Roman" w:eastAsia="方正黑体简体" w:cs="Times New Roman"/>
          <w:b/>
          <w:bCs/>
          <w:sz w:val="32"/>
          <w:szCs w:val="32"/>
        </w:rPr>
        <w:t>主要会计数据和财务指标</w:t>
      </w:r>
    </w:p>
    <w:tbl>
      <w:tblPr>
        <w:tblStyle w:val="5"/>
        <w:tblW w:w="8967" w:type="dxa"/>
        <w:tblInd w:w="93" w:type="dxa"/>
        <w:tblLayout w:type="fixed"/>
        <w:tblCellMar>
          <w:top w:w="0" w:type="dxa"/>
          <w:left w:w="108" w:type="dxa"/>
          <w:bottom w:w="0" w:type="dxa"/>
          <w:right w:w="108" w:type="dxa"/>
        </w:tblCellMar>
      </w:tblPr>
      <w:tblGrid>
        <w:gridCol w:w="1875"/>
        <w:gridCol w:w="1500"/>
        <w:gridCol w:w="2010"/>
        <w:gridCol w:w="2040"/>
        <w:gridCol w:w="1542"/>
      </w:tblGrid>
      <w:tr>
        <w:tblPrEx>
          <w:tblCellMar>
            <w:top w:w="0" w:type="dxa"/>
            <w:left w:w="108" w:type="dxa"/>
            <w:bottom w:w="0" w:type="dxa"/>
            <w:right w:w="108" w:type="dxa"/>
          </w:tblCellMar>
        </w:tblPrEx>
        <w:trPr>
          <w:trHeight w:val="690" w:hRule="atLeast"/>
        </w:trPr>
        <w:tc>
          <w:tcPr>
            <w:tcW w:w="8967" w:type="dxa"/>
            <w:gridSpan w:val="5"/>
            <w:tcBorders>
              <w:top w:val="nil"/>
              <w:left w:val="nil"/>
              <w:bottom w:val="single" w:color="000000" w:sz="8" w:space="0"/>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 xml:space="preserve">                            </w:t>
            </w:r>
            <w:r>
              <w:rPr>
                <w:rFonts w:hint="eastAsia" w:ascii="Times New Roman" w:hAnsi="Times New Roman" w:eastAsia="方正仿宋简体" w:cs="Times New Roman"/>
                <w:b/>
                <w:bCs/>
                <w:color w:val="000000"/>
                <w:kern w:val="0"/>
                <w:sz w:val="28"/>
                <w:szCs w:val="28"/>
                <w:lang w:val="en-US" w:eastAsia="zh-CN"/>
              </w:rPr>
              <w:t xml:space="preserve">                       </w:t>
            </w:r>
            <w:r>
              <w:rPr>
                <w:rFonts w:hint="default" w:ascii="Times New Roman" w:hAnsi="Times New Roman" w:eastAsia="方正仿宋简体" w:cs="Times New Roman"/>
                <w:b/>
                <w:bCs/>
                <w:color w:val="000000"/>
                <w:kern w:val="0"/>
                <w:sz w:val="28"/>
                <w:szCs w:val="28"/>
              </w:rPr>
              <w:t xml:space="preserve"> 单位：万元</w:t>
            </w:r>
          </w:p>
        </w:tc>
      </w:tr>
      <w:tr>
        <w:tblPrEx>
          <w:tblCellMar>
            <w:top w:w="0" w:type="dxa"/>
            <w:left w:w="108" w:type="dxa"/>
            <w:bottom w:w="0" w:type="dxa"/>
            <w:right w:w="108" w:type="dxa"/>
          </w:tblCellMar>
        </w:tblPrEx>
        <w:trPr>
          <w:trHeight w:val="600" w:hRule="atLeast"/>
        </w:trPr>
        <w:tc>
          <w:tcPr>
            <w:tcW w:w="1875" w:type="dxa"/>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项目</w:t>
            </w:r>
          </w:p>
        </w:tc>
        <w:tc>
          <w:tcPr>
            <w:tcW w:w="150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本期金额</w:t>
            </w:r>
          </w:p>
        </w:tc>
        <w:tc>
          <w:tcPr>
            <w:tcW w:w="201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年度预算目标</w:t>
            </w:r>
          </w:p>
        </w:tc>
        <w:tc>
          <w:tcPr>
            <w:tcW w:w="204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预算完成情况</w:t>
            </w:r>
          </w:p>
        </w:tc>
        <w:tc>
          <w:tcPr>
            <w:tcW w:w="1542" w:type="dxa"/>
            <w:tcBorders>
              <w:top w:val="single" w:color="000000" w:sz="8"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上年同期</w:t>
            </w:r>
          </w:p>
        </w:tc>
      </w:tr>
      <w:tr>
        <w:tblPrEx>
          <w:tblCellMar>
            <w:top w:w="0" w:type="dxa"/>
            <w:left w:w="108" w:type="dxa"/>
            <w:bottom w:w="0" w:type="dxa"/>
            <w:right w:w="108" w:type="dxa"/>
          </w:tblCellMar>
        </w:tblPrEx>
        <w:trPr>
          <w:trHeight w:val="600" w:hRule="atLeast"/>
        </w:trPr>
        <w:tc>
          <w:tcPr>
            <w:tcW w:w="18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营业总收入</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5</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132.06</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3.79%</w:t>
            </w:r>
          </w:p>
        </w:tc>
        <w:tc>
          <w:tcPr>
            <w:tcW w:w="154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35</w:t>
            </w:r>
          </w:p>
        </w:tc>
      </w:tr>
      <w:tr>
        <w:tblPrEx>
          <w:tblCellMar>
            <w:top w:w="0" w:type="dxa"/>
            <w:left w:w="108" w:type="dxa"/>
            <w:bottom w:w="0" w:type="dxa"/>
            <w:right w:w="108" w:type="dxa"/>
          </w:tblCellMar>
        </w:tblPrEx>
        <w:trPr>
          <w:trHeight w:val="600" w:hRule="atLeast"/>
        </w:trPr>
        <w:tc>
          <w:tcPr>
            <w:tcW w:w="18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营业总成本</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317</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1,694.87</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18.70%</w:t>
            </w:r>
          </w:p>
        </w:tc>
        <w:tc>
          <w:tcPr>
            <w:tcW w:w="154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373</w:t>
            </w:r>
          </w:p>
        </w:tc>
      </w:tr>
      <w:tr>
        <w:tblPrEx>
          <w:tblCellMar>
            <w:top w:w="0" w:type="dxa"/>
            <w:left w:w="108" w:type="dxa"/>
            <w:bottom w:w="0" w:type="dxa"/>
            <w:right w:w="108" w:type="dxa"/>
          </w:tblCellMar>
        </w:tblPrEx>
        <w:trPr>
          <w:trHeight w:val="600" w:hRule="atLeast"/>
        </w:trPr>
        <w:tc>
          <w:tcPr>
            <w:tcW w:w="18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利润总额</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-321</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11,138.20</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-2.88%</w:t>
            </w:r>
          </w:p>
        </w:tc>
        <w:tc>
          <w:tcPr>
            <w:tcW w:w="154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-338</w:t>
            </w:r>
          </w:p>
        </w:tc>
      </w:tr>
      <w:tr>
        <w:tblPrEx>
          <w:tblCellMar>
            <w:top w:w="0" w:type="dxa"/>
            <w:left w:w="108" w:type="dxa"/>
            <w:bottom w:w="0" w:type="dxa"/>
            <w:right w:w="108" w:type="dxa"/>
          </w:tblCellMar>
        </w:tblPrEx>
        <w:trPr>
          <w:trHeight w:val="600" w:hRule="atLeast"/>
        </w:trPr>
        <w:tc>
          <w:tcPr>
            <w:tcW w:w="18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净利润</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-321</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11,138.20</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-2.88%</w:t>
            </w:r>
          </w:p>
        </w:tc>
        <w:tc>
          <w:tcPr>
            <w:tcW w:w="154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-338</w:t>
            </w:r>
          </w:p>
        </w:tc>
      </w:tr>
      <w:tr>
        <w:tblPrEx>
          <w:tblCellMar>
            <w:top w:w="0" w:type="dxa"/>
            <w:left w:w="108" w:type="dxa"/>
            <w:bottom w:w="0" w:type="dxa"/>
            <w:right w:w="108" w:type="dxa"/>
          </w:tblCellMar>
        </w:tblPrEx>
        <w:trPr>
          <w:trHeight w:val="600" w:hRule="atLeast"/>
        </w:trPr>
        <w:tc>
          <w:tcPr>
            <w:tcW w:w="18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资产总额</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301,189</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302,868.08</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99.45%</w:t>
            </w:r>
          </w:p>
        </w:tc>
        <w:tc>
          <w:tcPr>
            <w:tcW w:w="154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286,499</w:t>
            </w:r>
          </w:p>
        </w:tc>
      </w:tr>
      <w:tr>
        <w:tblPrEx>
          <w:tblCellMar>
            <w:top w:w="0" w:type="dxa"/>
            <w:left w:w="108" w:type="dxa"/>
            <w:bottom w:w="0" w:type="dxa"/>
            <w:right w:w="108" w:type="dxa"/>
          </w:tblCellMar>
        </w:tblPrEx>
        <w:trPr>
          <w:trHeight w:val="600" w:hRule="atLeast"/>
        </w:trPr>
        <w:tc>
          <w:tcPr>
            <w:tcW w:w="187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负债总额</w:t>
            </w: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207,665</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197,834.53</w:t>
            </w:r>
          </w:p>
        </w:tc>
        <w:tc>
          <w:tcPr>
            <w:tcW w:w="20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104.97%</w:t>
            </w:r>
          </w:p>
        </w:tc>
        <w:tc>
          <w:tcPr>
            <w:tcW w:w="154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196,692</w:t>
            </w:r>
          </w:p>
        </w:tc>
      </w:tr>
      <w:tr>
        <w:tblPrEx>
          <w:tblCellMar>
            <w:top w:w="0" w:type="dxa"/>
            <w:left w:w="108" w:type="dxa"/>
            <w:bottom w:w="0" w:type="dxa"/>
            <w:right w:w="108" w:type="dxa"/>
          </w:tblCellMar>
        </w:tblPrEx>
        <w:trPr>
          <w:trHeight w:val="600" w:hRule="atLeast"/>
        </w:trPr>
        <w:tc>
          <w:tcPr>
            <w:tcW w:w="1875" w:type="dxa"/>
            <w:tcBorders>
              <w:top w:val="single" w:color="000000" w:sz="4" w:space="0"/>
              <w:left w:val="single" w:color="000000" w:sz="8" w:space="0"/>
              <w:bottom w:val="single" w:color="000000" w:sz="8"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color w:val="000000"/>
                <w:sz w:val="28"/>
                <w:szCs w:val="28"/>
              </w:rPr>
            </w:pPr>
            <w:r>
              <w:rPr>
                <w:rFonts w:hint="default" w:ascii="Times New Roman" w:hAnsi="Times New Roman" w:eastAsia="方正仿宋简体" w:cs="Times New Roman"/>
                <w:b/>
                <w:bCs/>
                <w:color w:val="000000"/>
                <w:kern w:val="0"/>
                <w:sz w:val="28"/>
                <w:szCs w:val="28"/>
              </w:rPr>
              <w:t>所有者权益</w:t>
            </w:r>
          </w:p>
        </w:tc>
        <w:tc>
          <w:tcPr>
            <w:tcW w:w="150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93,524</w:t>
            </w:r>
          </w:p>
        </w:tc>
        <w:tc>
          <w:tcPr>
            <w:tcW w:w="201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105033.55</w:t>
            </w:r>
          </w:p>
        </w:tc>
        <w:tc>
          <w:tcPr>
            <w:tcW w:w="204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89.04%</w:t>
            </w:r>
          </w:p>
        </w:tc>
        <w:tc>
          <w:tcPr>
            <w:tcW w:w="1542"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简体" w:cs="Times New Roman"/>
                <w:b/>
                <w:bCs/>
                <w:i w:val="0"/>
                <w:iCs w:val="0"/>
                <w:color w:val="000000"/>
                <w:kern w:val="0"/>
                <w:sz w:val="28"/>
                <w:szCs w:val="28"/>
                <w:u w:val="none"/>
                <w:lang w:val="en-US" w:eastAsia="zh-CN" w:bidi="ar"/>
              </w:rPr>
            </w:pPr>
            <w:r>
              <w:rPr>
                <w:rFonts w:hint="default" w:ascii="Times New Roman" w:hAnsi="Times New Roman" w:eastAsia="方正仿宋简体" w:cs="Times New Roman"/>
                <w:b/>
                <w:bCs/>
                <w:i w:val="0"/>
                <w:iCs w:val="0"/>
                <w:color w:val="000000"/>
                <w:kern w:val="0"/>
                <w:sz w:val="28"/>
                <w:szCs w:val="28"/>
                <w:u w:val="none"/>
                <w:lang w:val="en-US" w:eastAsia="zh-CN" w:bidi="ar"/>
              </w:rPr>
              <w:t>89,807</w:t>
            </w:r>
          </w:p>
        </w:tc>
      </w:tr>
    </w:tbl>
    <w:p>
      <w:pPr>
        <w:snapToGrid w:val="0"/>
        <w:spacing w:line="600" w:lineRule="exact"/>
        <w:ind w:firstLine="643" w:firstLineChars="200"/>
        <w:rPr>
          <w:rFonts w:ascii="Times New Roman" w:hAnsi="Times New Roman" w:eastAsia="方正黑体简体" w:cs="Times New Roman"/>
          <w:b/>
          <w:bCs/>
          <w:sz w:val="32"/>
          <w:szCs w:val="32"/>
        </w:rPr>
      </w:pPr>
      <w:r>
        <w:rPr>
          <w:rFonts w:hint="eastAsia" w:ascii="Times New Roman" w:hAnsi="Times New Roman" w:eastAsia="方正黑体简体" w:cs="Times New Roman"/>
          <w:b/>
          <w:bCs/>
          <w:sz w:val="32"/>
          <w:szCs w:val="32"/>
        </w:rPr>
        <w:t>三、</w:t>
      </w:r>
      <w:r>
        <w:rPr>
          <w:rFonts w:ascii="Times New Roman" w:hAnsi="Times New Roman" w:eastAsia="方正黑体简体" w:cs="Times New Roman"/>
          <w:b/>
          <w:bCs/>
          <w:sz w:val="32"/>
          <w:szCs w:val="32"/>
        </w:rPr>
        <w:t>财务预算执行情况</w:t>
      </w:r>
    </w:p>
    <w:p>
      <w:pPr>
        <w:spacing w:line="560" w:lineRule="exact"/>
        <w:ind w:firstLine="643" w:firstLineChars="200"/>
        <w:rPr>
          <w:rFonts w:ascii="Times New Roman" w:hAnsi="Times New Roman" w:eastAsia="方正黑体简体" w:cs="Times New Roman"/>
          <w:b/>
          <w:bCs/>
          <w:sz w:val="32"/>
          <w:szCs w:val="32"/>
        </w:rPr>
      </w:pPr>
      <w:r>
        <w:rPr>
          <w:rFonts w:hint="eastAsia" w:ascii="Times New Roman" w:hAnsi="Times New Roman" w:eastAsia="方正仿宋简体" w:cs="方正仿宋简体"/>
          <w:b/>
          <w:bCs/>
          <w:sz w:val="32"/>
          <w:szCs w:val="32"/>
          <w:lang w:val="en-US" w:eastAsia="zh-CN"/>
        </w:rPr>
        <w:t>2024年第一季度</w:t>
      </w:r>
      <w:r>
        <w:rPr>
          <w:rFonts w:ascii="Times New Roman" w:hAnsi="Times New Roman" w:eastAsia="方正仿宋简体" w:cs="方正仿宋简体"/>
          <w:b/>
          <w:bCs/>
          <w:sz w:val="32"/>
          <w:szCs w:val="32"/>
        </w:rPr>
        <w:t>累计实现营业收入</w:t>
      </w:r>
      <w:r>
        <w:rPr>
          <w:rFonts w:hint="eastAsia" w:ascii="Times New Roman" w:hAnsi="Times New Roman" w:eastAsia="方正仿宋简体" w:cs="方正仿宋简体"/>
          <w:b/>
          <w:bCs/>
          <w:sz w:val="32"/>
          <w:szCs w:val="32"/>
          <w:lang w:val="en-US" w:eastAsia="zh-CN"/>
        </w:rPr>
        <w:t>5</w:t>
      </w:r>
      <w:r>
        <w:rPr>
          <w:rFonts w:hint="eastAsia" w:ascii="Times New Roman" w:hAnsi="Times New Roman" w:eastAsia="方正仿宋简体" w:cs="方正仿宋简体"/>
          <w:b/>
          <w:bCs/>
          <w:sz w:val="32"/>
          <w:szCs w:val="32"/>
        </w:rPr>
        <w:t>万元</w:t>
      </w:r>
      <w:r>
        <w:rPr>
          <w:rFonts w:ascii="Times New Roman" w:hAnsi="Times New Roman" w:eastAsia="方正仿宋简体" w:cs="方正仿宋简体"/>
          <w:b/>
          <w:bCs/>
          <w:sz w:val="32"/>
          <w:szCs w:val="32"/>
        </w:rPr>
        <w:t>，完成全年预算</w:t>
      </w:r>
      <w:r>
        <w:rPr>
          <w:rFonts w:hint="eastAsia" w:ascii="Times New Roman" w:hAnsi="Times New Roman" w:eastAsia="方正仿宋简体" w:cs="方正仿宋简体"/>
          <w:b/>
          <w:bCs/>
          <w:sz w:val="32"/>
          <w:szCs w:val="32"/>
          <w:lang w:val="en-US" w:eastAsia="zh-CN"/>
        </w:rPr>
        <w:t>132.06</w:t>
      </w:r>
      <w:r>
        <w:rPr>
          <w:rFonts w:hint="eastAsia" w:ascii="Times New Roman" w:hAnsi="Times New Roman" w:eastAsia="方正仿宋简体" w:cs="方正仿宋简体"/>
          <w:b/>
          <w:bCs/>
          <w:sz w:val="32"/>
          <w:szCs w:val="32"/>
        </w:rPr>
        <w:t>万</w:t>
      </w:r>
      <w:r>
        <w:rPr>
          <w:rFonts w:ascii="Times New Roman" w:hAnsi="Times New Roman" w:eastAsia="方正仿宋简体" w:cs="方正仿宋简体"/>
          <w:b/>
          <w:bCs/>
          <w:sz w:val="32"/>
          <w:szCs w:val="32"/>
        </w:rPr>
        <w:t>元的</w:t>
      </w:r>
      <w:r>
        <w:rPr>
          <w:rFonts w:hint="eastAsia" w:ascii="Times New Roman" w:hAnsi="Times New Roman" w:eastAsia="方正仿宋简体" w:cs="方正仿宋简体"/>
          <w:b/>
          <w:bCs/>
          <w:sz w:val="32"/>
          <w:szCs w:val="32"/>
          <w:lang w:val="en-US" w:eastAsia="zh-CN"/>
        </w:rPr>
        <w:t>3.79</w:t>
      </w:r>
      <w:r>
        <w:rPr>
          <w:rFonts w:ascii="Times New Roman" w:hAnsi="Times New Roman" w:eastAsia="方正仿宋简体" w:cs="方正仿宋简体"/>
          <w:b/>
          <w:bCs/>
          <w:sz w:val="32"/>
          <w:szCs w:val="32"/>
        </w:rPr>
        <w:t>%</w:t>
      </w:r>
      <w:r>
        <w:rPr>
          <w:rFonts w:hint="eastAsia" w:ascii="Times New Roman" w:hAnsi="Times New Roman" w:eastAsia="方正仿宋简体" w:cs="方正仿宋简体"/>
          <w:b/>
          <w:bCs/>
          <w:sz w:val="32"/>
          <w:szCs w:val="32"/>
          <w:lang w:eastAsia="zh-CN"/>
        </w:rPr>
        <w:t>。</w:t>
      </w:r>
      <w:r>
        <w:rPr>
          <w:rFonts w:ascii="Times New Roman" w:hAnsi="Times New Roman" w:eastAsia="方正仿宋简体" w:cs="方正仿宋简体"/>
          <w:b/>
          <w:bCs/>
          <w:sz w:val="32"/>
          <w:szCs w:val="32"/>
        </w:rPr>
        <w:t>累计实现利润总额</w:t>
      </w:r>
      <w:r>
        <w:rPr>
          <w:rFonts w:hint="eastAsia" w:ascii="Times New Roman" w:hAnsi="Times New Roman" w:eastAsia="方正仿宋简体" w:cs="方正仿宋简体"/>
          <w:b/>
          <w:bCs/>
          <w:sz w:val="32"/>
          <w:szCs w:val="32"/>
          <w:lang w:val="en-US" w:eastAsia="zh-CN"/>
        </w:rPr>
        <w:t>-321</w:t>
      </w:r>
      <w:r>
        <w:rPr>
          <w:rFonts w:ascii="Times New Roman" w:hAnsi="Times New Roman" w:eastAsia="方正仿宋简体" w:cs="方正仿宋简体"/>
          <w:b/>
          <w:bCs/>
          <w:sz w:val="32"/>
          <w:szCs w:val="32"/>
        </w:rPr>
        <w:t>万元，</w:t>
      </w:r>
      <w:r>
        <w:rPr>
          <w:rFonts w:hint="eastAsia" w:ascii="Times New Roman" w:hAnsi="Times New Roman" w:eastAsia="方正仿宋简体" w:cs="方正仿宋简体"/>
          <w:b/>
          <w:bCs/>
          <w:sz w:val="32"/>
          <w:szCs w:val="32"/>
        </w:rPr>
        <w:t>较</w:t>
      </w:r>
      <w:r>
        <w:rPr>
          <w:rFonts w:ascii="Times New Roman" w:hAnsi="Times New Roman" w:eastAsia="方正仿宋简体" w:cs="方正仿宋简体"/>
          <w:b/>
          <w:bCs/>
          <w:sz w:val="32"/>
          <w:szCs w:val="32"/>
        </w:rPr>
        <w:t>全年预算目标</w:t>
      </w:r>
      <w:r>
        <w:rPr>
          <w:rFonts w:hint="eastAsia" w:ascii="Times New Roman" w:hAnsi="Times New Roman" w:eastAsia="方正仿宋简体" w:cs="方正仿宋简体"/>
          <w:b/>
          <w:bCs/>
          <w:sz w:val="32"/>
          <w:szCs w:val="32"/>
          <w:lang w:val="en-US" w:eastAsia="zh-CN"/>
        </w:rPr>
        <w:t>11138.2</w:t>
      </w:r>
      <w:r>
        <w:rPr>
          <w:rFonts w:hint="eastAsia" w:ascii="Times New Roman" w:hAnsi="Times New Roman" w:eastAsia="方正仿宋简体" w:cs="方正仿宋简体"/>
          <w:b/>
          <w:bCs/>
          <w:sz w:val="32"/>
          <w:szCs w:val="32"/>
        </w:rPr>
        <w:t>万</w:t>
      </w:r>
      <w:r>
        <w:rPr>
          <w:rFonts w:ascii="Times New Roman" w:hAnsi="Times New Roman" w:eastAsia="方正仿宋简体" w:cs="方正仿宋简体"/>
          <w:b/>
          <w:bCs/>
          <w:sz w:val="32"/>
          <w:szCs w:val="32"/>
        </w:rPr>
        <w:t>元</w:t>
      </w:r>
      <w:r>
        <w:rPr>
          <w:rFonts w:hint="eastAsia" w:ascii="Times New Roman" w:hAnsi="Times New Roman" w:eastAsia="方正仿宋简体" w:cs="方正仿宋简体"/>
          <w:b/>
          <w:bCs/>
          <w:sz w:val="32"/>
          <w:szCs w:val="32"/>
        </w:rPr>
        <w:t>差额</w:t>
      </w:r>
      <w:r>
        <w:rPr>
          <w:rFonts w:hint="eastAsia" w:ascii="Times New Roman" w:hAnsi="Times New Roman" w:eastAsia="方正仿宋简体" w:cs="方正仿宋简体"/>
          <w:b/>
          <w:bCs/>
          <w:sz w:val="32"/>
          <w:szCs w:val="32"/>
          <w:lang w:val="en-US" w:eastAsia="zh-CN"/>
        </w:rPr>
        <w:t>11459.2</w:t>
      </w:r>
      <w:r>
        <w:rPr>
          <w:rFonts w:hint="eastAsia" w:ascii="Times New Roman" w:hAnsi="Times New Roman" w:eastAsia="方正仿宋简体" w:cs="方正仿宋简体"/>
          <w:b/>
          <w:bCs/>
          <w:sz w:val="32"/>
          <w:szCs w:val="32"/>
        </w:rPr>
        <w:t>万元，主要是合作开发的梁山龙城公馆项目的投资收益需要到年底才能确认投资收益，属时间性差异影响</w:t>
      </w:r>
      <w:r>
        <w:rPr>
          <w:rFonts w:ascii="Times New Roman" w:hAnsi="Times New Roman" w:eastAsia="方正仿宋简体" w:cs="方正仿宋简体"/>
          <w:b/>
          <w:bCs/>
          <w:sz w:val="32"/>
          <w:szCs w:val="32"/>
        </w:rPr>
        <w:t>；</w:t>
      </w:r>
      <w:r>
        <w:rPr>
          <w:rFonts w:hint="eastAsia" w:ascii="Times New Roman" w:hAnsi="Times New Roman" w:eastAsia="方正仿宋简体" w:cs="方正仿宋简体"/>
          <w:b/>
          <w:bCs/>
          <w:sz w:val="32"/>
          <w:szCs w:val="32"/>
          <w:lang w:val="en-US" w:eastAsia="zh-CN"/>
        </w:rPr>
        <w:t>3</w:t>
      </w:r>
      <w:r>
        <w:rPr>
          <w:rFonts w:hint="eastAsia" w:ascii="Times New Roman" w:hAnsi="Times New Roman" w:eastAsia="方正仿宋简体" w:cs="方正仿宋简体"/>
          <w:b/>
          <w:bCs/>
          <w:sz w:val="32"/>
          <w:szCs w:val="32"/>
        </w:rPr>
        <w:t>月底资产负债率</w:t>
      </w:r>
      <w:r>
        <w:rPr>
          <w:rFonts w:hint="eastAsia" w:ascii="Times New Roman" w:hAnsi="Times New Roman" w:eastAsia="方正仿宋简体" w:cs="方正仿宋简体"/>
          <w:b/>
          <w:bCs/>
          <w:sz w:val="32"/>
          <w:szCs w:val="32"/>
          <w:lang w:val="en-US" w:eastAsia="zh-CN"/>
        </w:rPr>
        <w:t>68.9</w:t>
      </w:r>
      <w:r>
        <w:rPr>
          <w:rFonts w:hint="eastAsia" w:ascii="Times New Roman" w:hAnsi="Times New Roman" w:eastAsia="方正仿宋简体" w:cs="方正仿宋简体"/>
          <w:b/>
          <w:bCs/>
          <w:sz w:val="32"/>
          <w:szCs w:val="32"/>
        </w:rPr>
        <w:t>%，比去年同期的</w:t>
      </w:r>
      <w:r>
        <w:rPr>
          <w:rFonts w:hint="eastAsia" w:ascii="Times New Roman" w:hAnsi="Times New Roman" w:eastAsia="方正仿宋简体" w:cs="方正仿宋简体"/>
          <w:b/>
          <w:bCs/>
          <w:sz w:val="32"/>
          <w:szCs w:val="32"/>
          <w:lang w:val="en-US" w:eastAsia="zh-CN"/>
        </w:rPr>
        <w:t>68.7</w:t>
      </w:r>
      <w:r>
        <w:rPr>
          <w:rFonts w:hint="eastAsia" w:ascii="Times New Roman" w:hAnsi="Times New Roman" w:eastAsia="方正仿宋简体" w:cs="方正仿宋简体"/>
          <w:b/>
          <w:bCs/>
          <w:sz w:val="32"/>
          <w:szCs w:val="32"/>
        </w:rPr>
        <w:t>%增加了</w:t>
      </w:r>
      <w:r>
        <w:rPr>
          <w:rFonts w:hint="eastAsia" w:ascii="Times New Roman" w:hAnsi="Times New Roman" w:eastAsia="方正仿宋简体" w:cs="方正仿宋简体"/>
          <w:b/>
          <w:bCs/>
          <w:sz w:val="32"/>
          <w:szCs w:val="32"/>
          <w:lang w:val="en-US" w:eastAsia="zh-CN"/>
        </w:rPr>
        <w:t>0.2</w:t>
      </w:r>
      <w:r>
        <w:rPr>
          <w:rFonts w:hint="eastAsia" w:ascii="Times New Roman" w:hAnsi="Times New Roman" w:eastAsia="方正仿宋简体" w:cs="方正仿宋简体"/>
          <w:b/>
          <w:bCs/>
          <w:sz w:val="32"/>
          <w:szCs w:val="32"/>
        </w:rPr>
        <w:t>个百分点</w:t>
      </w:r>
      <w:r>
        <w:rPr>
          <w:rFonts w:hint="eastAsia" w:ascii="Times New Roman" w:hAnsi="Times New Roman" w:eastAsia="方正仿宋简体" w:cs="方正仿宋简体"/>
          <w:b/>
          <w:bCs/>
          <w:sz w:val="32"/>
          <w:szCs w:val="32"/>
          <w:lang w:eastAsia="zh-CN"/>
        </w:rPr>
        <w:t>。</w:t>
      </w:r>
      <w:bookmarkStart w:id="0" w:name="_GoBack"/>
      <w:bookmarkEnd w:id="0"/>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FBD13"/>
    <w:multiLevelType w:val="singleLevel"/>
    <w:tmpl w:val="3A2FBD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yMzk4NDc4ZDg3MDdjNTI1ZDY3MjM1YzJkYmFhNjMifQ=="/>
  </w:docVars>
  <w:rsids>
    <w:rsidRoot w:val="28E8704B"/>
    <w:rsid w:val="00023E53"/>
    <w:rsid w:val="00064C10"/>
    <w:rsid w:val="000B768B"/>
    <w:rsid w:val="000F4906"/>
    <w:rsid w:val="001048D2"/>
    <w:rsid w:val="001225CF"/>
    <w:rsid w:val="0016636E"/>
    <w:rsid w:val="00173818"/>
    <w:rsid w:val="001E70D3"/>
    <w:rsid w:val="001F0930"/>
    <w:rsid w:val="002659B0"/>
    <w:rsid w:val="0027474F"/>
    <w:rsid w:val="002B6071"/>
    <w:rsid w:val="002F0D05"/>
    <w:rsid w:val="0033664A"/>
    <w:rsid w:val="00387CC5"/>
    <w:rsid w:val="003A2581"/>
    <w:rsid w:val="003B2746"/>
    <w:rsid w:val="003C0776"/>
    <w:rsid w:val="003F200B"/>
    <w:rsid w:val="0040651C"/>
    <w:rsid w:val="004B3BB3"/>
    <w:rsid w:val="004B51FE"/>
    <w:rsid w:val="004C19A7"/>
    <w:rsid w:val="004F2DF9"/>
    <w:rsid w:val="005304BC"/>
    <w:rsid w:val="00545BAB"/>
    <w:rsid w:val="00590DF4"/>
    <w:rsid w:val="005917DF"/>
    <w:rsid w:val="005C6338"/>
    <w:rsid w:val="005D0127"/>
    <w:rsid w:val="00646654"/>
    <w:rsid w:val="00663457"/>
    <w:rsid w:val="006C787C"/>
    <w:rsid w:val="007534E3"/>
    <w:rsid w:val="007B1BD4"/>
    <w:rsid w:val="007D5E77"/>
    <w:rsid w:val="00814BA3"/>
    <w:rsid w:val="008152B0"/>
    <w:rsid w:val="00843F2E"/>
    <w:rsid w:val="00883DD5"/>
    <w:rsid w:val="008A4D0D"/>
    <w:rsid w:val="008A6F95"/>
    <w:rsid w:val="00956D2F"/>
    <w:rsid w:val="009A5685"/>
    <w:rsid w:val="009D48DC"/>
    <w:rsid w:val="009E5784"/>
    <w:rsid w:val="00A45B31"/>
    <w:rsid w:val="00A87960"/>
    <w:rsid w:val="00B47D29"/>
    <w:rsid w:val="00B72AA9"/>
    <w:rsid w:val="00BA5853"/>
    <w:rsid w:val="00C32AF0"/>
    <w:rsid w:val="00C34F1A"/>
    <w:rsid w:val="00C471A1"/>
    <w:rsid w:val="00C60935"/>
    <w:rsid w:val="00C65F09"/>
    <w:rsid w:val="00D153C1"/>
    <w:rsid w:val="00D2501B"/>
    <w:rsid w:val="00D33D8F"/>
    <w:rsid w:val="00D34D61"/>
    <w:rsid w:val="00D43CE6"/>
    <w:rsid w:val="00DA289F"/>
    <w:rsid w:val="00DB13BB"/>
    <w:rsid w:val="00E01818"/>
    <w:rsid w:val="00E0765F"/>
    <w:rsid w:val="00E25793"/>
    <w:rsid w:val="00E60C18"/>
    <w:rsid w:val="00E6208D"/>
    <w:rsid w:val="00EC0809"/>
    <w:rsid w:val="00F53553"/>
    <w:rsid w:val="00FC1149"/>
    <w:rsid w:val="04C07E5F"/>
    <w:rsid w:val="098E2CD5"/>
    <w:rsid w:val="100D1750"/>
    <w:rsid w:val="106D110D"/>
    <w:rsid w:val="16C25649"/>
    <w:rsid w:val="17463BEB"/>
    <w:rsid w:val="19560A59"/>
    <w:rsid w:val="19591376"/>
    <w:rsid w:val="1C496371"/>
    <w:rsid w:val="1E817109"/>
    <w:rsid w:val="1F0F013F"/>
    <w:rsid w:val="21785B44"/>
    <w:rsid w:val="25486BE3"/>
    <w:rsid w:val="26A93DBD"/>
    <w:rsid w:val="27F03E2A"/>
    <w:rsid w:val="28E8704B"/>
    <w:rsid w:val="290C75C1"/>
    <w:rsid w:val="29D47C5C"/>
    <w:rsid w:val="2A4822AF"/>
    <w:rsid w:val="2C937E32"/>
    <w:rsid w:val="2E8D617B"/>
    <w:rsid w:val="32777821"/>
    <w:rsid w:val="39AE61CA"/>
    <w:rsid w:val="3D910776"/>
    <w:rsid w:val="3EE126D3"/>
    <w:rsid w:val="419C0824"/>
    <w:rsid w:val="44244964"/>
    <w:rsid w:val="46511F71"/>
    <w:rsid w:val="478A258A"/>
    <w:rsid w:val="4AB9328C"/>
    <w:rsid w:val="4E903936"/>
    <w:rsid w:val="52DF6C8B"/>
    <w:rsid w:val="536B2CB8"/>
    <w:rsid w:val="57404164"/>
    <w:rsid w:val="575A0F80"/>
    <w:rsid w:val="576B5048"/>
    <w:rsid w:val="59B211B2"/>
    <w:rsid w:val="5AD277FB"/>
    <w:rsid w:val="5B58425C"/>
    <w:rsid w:val="5E145AF2"/>
    <w:rsid w:val="5F412942"/>
    <w:rsid w:val="5FA47421"/>
    <w:rsid w:val="5FD11EF8"/>
    <w:rsid w:val="60785E58"/>
    <w:rsid w:val="66EC3CFC"/>
    <w:rsid w:val="693A6297"/>
    <w:rsid w:val="6A5519A2"/>
    <w:rsid w:val="6C305B70"/>
    <w:rsid w:val="6CDE381E"/>
    <w:rsid w:val="6D8C75E7"/>
    <w:rsid w:val="710941E7"/>
    <w:rsid w:val="745107D5"/>
    <w:rsid w:val="75D26FF0"/>
    <w:rsid w:val="786C2299"/>
    <w:rsid w:val="7D0F6E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heme="minorHAnsi" w:hAnsiTheme="minorHAnsi" w:eastAsiaTheme="minorEastAsia" w:cstheme="minorBidi"/>
      <w:kern w:val="2"/>
      <w:sz w:val="18"/>
      <w:szCs w:val="18"/>
    </w:rPr>
  </w:style>
  <w:style w:type="character" w:customStyle="1" w:styleId="8">
    <w:name w:val="页脚 Char"/>
    <w:basedOn w:val="6"/>
    <w:link w:val="3"/>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semiHidden/>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1010</Words>
  <Characters>1253</Characters>
  <Lines>10</Lines>
  <Paragraphs>2</Paragraphs>
  <TotalTime>5</TotalTime>
  <ScaleCrop>false</ScaleCrop>
  <LinksUpToDate>false</LinksUpToDate>
  <CharactersWithSpaces>1329</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张娜</cp:lastModifiedBy>
  <cp:lastPrinted>2022-04-28T02:25:00Z</cp:lastPrinted>
  <dcterms:modified xsi:type="dcterms:W3CDTF">2024-04-29T09:50:12Z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482555A0C4F64C6C8B80D94EF0C1A1F1_13</vt:lpwstr>
  </property>
  <property fmtid="{D5CDD505-2E9C-101B-9397-08002B2CF9AE}" pid="4" name="commondata">
    <vt:lpwstr>eyJoZGlkIjoiMzIxYmMwMDJkYjZiMmFlYzdhY2YzYTliOWFhN2UxMzIifQ==</vt:lpwstr>
  </property>
</Properties>
</file>