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嘉祥公用水务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 xml:space="preserve">有限公司 </w:t>
      </w:r>
    </w:p>
    <w:p>
      <w:pPr>
        <w:snapToGrid w:val="0"/>
        <w:spacing w:line="640" w:lineRule="exact"/>
        <w:jc w:val="center"/>
        <w:rPr>
          <w:rFonts w:ascii="宋体" w:hAnsi="宋体" w:eastAsia="方正小标宋简体" w:cs="宋体"/>
          <w:sz w:val="2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2024年第一季度财务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等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重大信息公开</w:t>
      </w:r>
    </w:p>
    <w:p>
      <w:pPr>
        <w:rPr>
          <w:rFonts w:ascii="方正仿宋简体" w:hAnsi="方正仿宋简体" w:eastAsia="方正仿宋简体" w:cs="方正仿宋简体"/>
          <w:bCs/>
          <w:szCs w:val="32"/>
        </w:rPr>
      </w:pPr>
      <w:r>
        <w:rPr>
          <w:rFonts w:hint="eastAsia" w:ascii="方正仿宋简体" w:hAnsi="方正仿宋简体" w:eastAsia="方正仿宋简体" w:cs="方正仿宋简体"/>
          <w:bCs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32" w:firstLineChars="200"/>
        <w:textAlignment w:val="auto"/>
        <w:rPr>
          <w:rFonts w:hint="default" w:ascii="Times New Roman" w:hAnsi="Times New Roman" w:eastAsia="方正黑体简体" w:cs="Times New Roman"/>
          <w:bCs/>
          <w:szCs w:val="32"/>
        </w:rPr>
      </w:pPr>
      <w:r>
        <w:rPr>
          <w:rFonts w:hint="default" w:ascii="Times New Roman" w:hAnsi="Times New Roman" w:eastAsia="方正黑体简体" w:cs="Times New Roman"/>
          <w:bCs/>
          <w:szCs w:val="32"/>
        </w:rPr>
        <w:t xml:space="preserve">一、公司基本情况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29" w:firstLineChars="199"/>
        <w:textAlignment w:val="auto"/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1.公司名称：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嘉祥公用水务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29" w:firstLineChars="199"/>
        <w:textAlignment w:val="auto"/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2.法定代表人：张联峰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29" w:firstLineChars="199"/>
        <w:textAlignment w:val="auto"/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3.注册地址：山东省济宁市嘉祥县获麟街249号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29" w:firstLineChars="199"/>
        <w:textAlignment w:val="auto"/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4.经营范围：一般项目：承接总公司工程建设业务；供应用仪器仪表销售（除依法须经批准的项目外，凭营业执照依法自主开展经营活动）许可项目：自来水生产与供应；污水处理及其再生利用；各类工程建设活动（依法须经批准的项目，经相关部门批准后方可开展经营活动，具体经营项目以审批结果为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29" w:firstLineChars="199"/>
        <w:textAlignment w:val="auto"/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5.公司简介: 嘉祥公用水务有限公司2014年10月新设合并成立，隶属山东公用控股下属的山东公用水务集团有限公司，是集城市供水、城乡污水处理、市政工程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设计与施工、水质检测于一体的综合性水务企业。现有职工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112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人，设有12个生产部门和职能部室，公司注册资金2730万元，日供水能力8万吨，污水处理能力8万吨，服务城区人口</w:t>
      </w:r>
      <w:r>
        <w:rPr>
          <w:rFonts w:hint="default" w:ascii="Times New Roman" w:hAnsi="Times New Roman" w:eastAsia="方正仿宋简体" w:cs="Times New Roman"/>
          <w:b/>
          <w:bCs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16万余人。公司秉承“祥瑞之水嘉泽万家、真心诚心服务祥城百姓”的服务宗旨，不断改革创新，优化服务环境，严把工程质量，建设智慧水务，社会满意度得到了显著提升，彰显国企担当，取得了较好的社会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32" w:firstLineChars="200"/>
        <w:textAlignment w:val="auto"/>
        <w:rPr>
          <w:rFonts w:hint="default" w:ascii="Times New Roman" w:hAnsi="Times New Roman" w:eastAsia="方正黑体简体" w:cs="Times New Roman"/>
          <w:bCs/>
          <w:szCs w:val="32"/>
        </w:rPr>
      </w:pPr>
      <w:r>
        <w:rPr>
          <w:rFonts w:hint="default" w:ascii="Times New Roman" w:hAnsi="Times New Roman" w:eastAsia="方正黑体简体" w:cs="Times New Roman"/>
          <w:bCs/>
          <w:szCs w:val="32"/>
        </w:rPr>
        <w:t>二、主要会计数据和财务指标</w:t>
      </w:r>
      <w:r>
        <w:rPr>
          <w:rFonts w:hint="default" w:ascii="Times New Roman" w:hAnsi="Times New Roman" w:eastAsia="方正黑体简体" w:cs="Times New Roman"/>
          <w:szCs w:val="32"/>
        </w:rPr>
        <w:t>（截至到2024年3月31日）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7176" w:firstLineChars="2600"/>
        <w:textAlignment w:val="auto"/>
        <w:rPr>
          <w:rFonts w:hint="default" w:ascii="Times New Roman" w:hAnsi="Times New Roman" w:eastAsia="方正楷体简体" w:cs="Times New Roman"/>
          <w:bCs/>
          <w:sz w:val="28"/>
          <w:szCs w:val="28"/>
        </w:rPr>
      </w:pPr>
      <w:r>
        <w:rPr>
          <w:rFonts w:hint="default" w:ascii="Times New Roman" w:hAnsi="Times New Roman" w:eastAsia="方正楷体简体" w:cs="Times New Roman"/>
          <w:sz w:val="28"/>
          <w:szCs w:val="28"/>
        </w:rPr>
        <w:t>单位： 万元</w:t>
      </w:r>
    </w:p>
    <w:tbl>
      <w:tblPr>
        <w:tblStyle w:val="5"/>
        <w:tblW w:w="0" w:type="auto"/>
        <w:tblInd w:w="1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5"/>
        <w:gridCol w:w="5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营业总收入</w:t>
            </w:r>
          </w:p>
        </w:tc>
        <w:tc>
          <w:tcPr>
            <w:tcW w:w="5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2800.89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营业总成本</w:t>
            </w:r>
          </w:p>
        </w:tc>
        <w:tc>
          <w:tcPr>
            <w:tcW w:w="5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2268.12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利润总额</w:t>
            </w:r>
          </w:p>
        </w:tc>
        <w:tc>
          <w:tcPr>
            <w:tcW w:w="5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591.61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净利润</w:t>
            </w:r>
          </w:p>
        </w:tc>
        <w:tc>
          <w:tcPr>
            <w:tcW w:w="5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571.61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资产总额</w:t>
            </w:r>
          </w:p>
        </w:tc>
        <w:tc>
          <w:tcPr>
            <w:tcW w:w="5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56093.17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负债总额</w:t>
            </w:r>
          </w:p>
        </w:tc>
        <w:tc>
          <w:tcPr>
            <w:tcW w:w="5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40262.70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所有者权益</w:t>
            </w:r>
          </w:p>
        </w:tc>
        <w:tc>
          <w:tcPr>
            <w:tcW w:w="52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简体" w:cs="Times New Roman"/>
                <w:sz w:val="28"/>
                <w:szCs w:val="28"/>
              </w:rPr>
              <w:t>15830.47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32" w:firstLineChars="200"/>
        <w:textAlignment w:val="auto"/>
        <w:rPr>
          <w:rFonts w:hint="default" w:ascii="Times New Roman" w:hAnsi="Times New Roman" w:eastAsia="方正黑体简体" w:cs="Times New Roman"/>
          <w:bCs/>
          <w:szCs w:val="32"/>
        </w:rPr>
      </w:pPr>
      <w:r>
        <w:rPr>
          <w:rFonts w:hint="default" w:ascii="Times New Roman" w:hAnsi="Times New Roman" w:eastAsia="方正黑体简体" w:cs="Times New Roman"/>
          <w:bCs/>
          <w:szCs w:val="32"/>
        </w:rPr>
        <w:t>三、财务预算执行情况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32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1.营业收入：本年预算</w:t>
      </w:r>
      <w:r>
        <w:rPr>
          <w:rFonts w:hint="default" w:ascii="Times New Roman" w:hAnsi="Times New Roman" w:eastAsia="方正仿宋简体" w:cs="Times New Roman"/>
          <w:b/>
          <w:bCs/>
          <w:szCs w:val="32"/>
        </w:rPr>
        <w:t>10070万元，截至到</w:t>
      </w:r>
      <w:r>
        <w:rPr>
          <w:rFonts w:hint="default" w:ascii="Times New Roman" w:hAnsi="Times New Roman" w:eastAsia="方正仿宋简体" w:cs="Times New Roman"/>
          <w:b/>
          <w:bCs/>
          <w:szCs w:val="32"/>
        </w:rPr>
        <w:t>2024年</w:t>
      </w:r>
      <w:r>
        <w:rPr>
          <w:rFonts w:hint="default" w:ascii="Times New Roman" w:hAnsi="Times New Roman" w:eastAsia="方正仿宋简体" w:cs="Times New Roman"/>
          <w:b/>
          <w:bCs/>
          <w:szCs w:val="32"/>
        </w:rPr>
        <w:t>3月</w:t>
      </w:r>
      <w:r>
        <w:rPr>
          <w:rFonts w:hint="default" w:ascii="Times New Roman" w:hAnsi="Times New Roman" w:eastAsia="方正仿宋简体" w:cs="Times New Roman"/>
          <w:b/>
          <w:bCs/>
          <w:szCs w:val="32"/>
        </w:rPr>
        <w:t>31日，完成</w:t>
      </w:r>
      <w:r>
        <w:rPr>
          <w:rFonts w:hint="default" w:ascii="Times New Roman" w:hAnsi="Times New Roman" w:eastAsia="方正仿宋简体" w:cs="Times New Roman"/>
          <w:b/>
          <w:bCs/>
          <w:szCs w:val="32"/>
        </w:rPr>
        <w:t>27.81%。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32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2.利润总额：本年预算</w:t>
      </w:r>
      <w:r>
        <w:rPr>
          <w:rFonts w:hint="default" w:ascii="Times New Roman" w:hAnsi="Times New Roman" w:eastAsia="方正仿宋简体" w:cs="Times New Roman"/>
          <w:b/>
          <w:bCs/>
          <w:szCs w:val="32"/>
        </w:rPr>
        <w:t>1080万元，截至到</w:t>
      </w:r>
      <w:r>
        <w:rPr>
          <w:rFonts w:hint="default" w:ascii="Times New Roman" w:hAnsi="Times New Roman" w:eastAsia="方正仿宋简体" w:cs="Times New Roman"/>
          <w:b/>
          <w:bCs/>
          <w:szCs w:val="32"/>
        </w:rPr>
        <w:t>2024年</w:t>
      </w:r>
      <w:r>
        <w:rPr>
          <w:rFonts w:hint="default" w:ascii="Times New Roman" w:hAnsi="Times New Roman" w:eastAsia="方正仿宋简体" w:cs="Times New Roman"/>
          <w:b/>
          <w:bCs/>
          <w:szCs w:val="32"/>
        </w:rPr>
        <w:t>3月</w:t>
      </w:r>
      <w:r>
        <w:rPr>
          <w:rFonts w:hint="default" w:ascii="Times New Roman" w:hAnsi="Times New Roman" w:eastAsia="方正仿宋简体" w:cs="Times New Roman"/>
          <w:b/>
          <w:bCs/>
          <w:szCs w:val="32"/>
        </w:rPr>
        <w:t>31日，完成</w:t>
      </w:r>
      <w:r>
        <w:rPr>
          <w:rFonts w:hint="default" w:ascii="Times New Roman" w:hAnsi="Times New Roman" w:eastAsia="方正仿宋简体" w:cs="Times New Roman"/>
          <w:b/>
          <w:bCs/>
          <w:szCs w:val="32"/>
        </w:rPr>
        <w:t>54.78%。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32" w:firstLineChars="200"/>
        <w:textAlignment w:val="auto"/>
        <w:rPr>
          <w:rFonts w:hint="default" w:ascii="Times New Roman" w:hAnsi="Times New Roman" w:eastAsia="黑体" w:cs="Times New Roman"/>
          <w:bCs/>
          <w:szCs w:val="32"/>
        </w:rPr>
      </w:pPr>
      <w:r>
        <w:rPr>
          <w:rFonts w:hint="default" w:ascii="Times New Roman" w:hAnsi="Times New Roman" w:eastAsia="黑体" w:cs="Times New Roman"/>
          <w:bCs/>
          <w:szCs w:val="32"/>
        </w:rPr>
        <w:t>四、本季度内发生的重大事项及对企业的影响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32" w:firstLineChars="200"/>
        <w:textAlignment w:val="auto"/>
        <w:rPr>
          <w:rFonts w:hint="default" w:ascii="Times New Roman" w:hAnsi="Times New Roman" w:eastAsia="方正仿宋简体" w:cs="Times New Roman"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Cs/>
          <w:szCs w:val="32"/>
        </w:rPr>
        <w:t>无</w:t>
      </w:r>
      <w:r>
        <w:rPr>
          <w:rFonts w:hint="default" w:ascii="Times New Roman" w:hAnsi="Times New Roman" w:eastAsia="方正仿宋简体" w:cs="Times New Roman"/>
          <w:bCs/>
          <w:szCs w:val="32"/>
          <w:lang w:eastAsia="zh-CN"/>
        </w:rPr>
        <w:t>。</w:t>
      </w:r>
    </w:p>
    <w:sectPr>
      <w:pgSz w:w="11906" w:h="16838"/>
      <w:pgMar w:top="2098" w:right="1474" w:bottom="1984" w:left="1587" w:header="851" w:footer="992" w:gutter="0"/>
      <w:cols w:space="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wOWMwMTYyMmUxZmM3ZGIzN2RjZTJjYmFkYjY0ODAifQ=="/>
  </w:docVars>
  <w:rsids>
    <w:rsidRoot w:val="13CC2444"/>
    <w:rsid w:val="001410B8"/>
    <w:rsid w:val="00271A1B"/>
    <w:rsid w:val="00273B49"/>
    <w:rsid w:val="00332EF0"/>
    <w:rsid w:val="003F77BE"/>
    <w:rsid w:val="00523E5B"/>
    <w:rsid w:val="005E0E77"/>
    <w:rsid w:val="007E076B"/>
    <w:rsid w:val="007E3428"/>
    <w:rsid w:val="007E5379"/>
    <w:rsid w:val="00960C45"/>
    <w:rsid w:val="00AC5603"/>
    <w:rsid w:val="00AC6AB4"/>
    <w:rsid w:val="00BC3130"/>
    <w:rsid w:val="00C0593F"/>
    <w:rsid w:val="00C306EB"/>
    <w:rsid w:val="00C455E3"/>
    <w:rsid w:val="00C65B77"/>
    <w:rsid w:val="00D321DA"/>
    <w:rsid w:val="00DB7AC0"/>
    <w:rsid w:val="00E003DD"/>
    <w:rsid w:val="00E455C8"/>
    <w:rsid w:val="00E82830"/>
    <w:rsid w:val="00EA422D"/>
    <w:rsid w:val="00F6388B"/>
    <w:rsid w:val="00FC157F"/>
    <w:rsid w:val="06DF3B7E"/>
    <w:rsid w:val="09EC724C"/>
    <w:rsid w:val="0B2D3CDC"/>
    <w:rsid w:val="0D6D5D2C"/>
    <w:rsid w:val="13CC2444"/>
    <w:rsid w:val="146E6986"/>
    <w:rsid w:val="180477A4"/>
    <w:rsid w:val="194128BC"/>
    <w:rsid w:val="19560A59"/>
    <w:rsid w:val="1C496371"/>
    <w:rsid w:val="29D47C5C"/>
    <w:rsid w:val="2A4822AF"/>
    <w:rsid w:val="2D9F5C7A"/>
    <w:rsid w:val="2FCC2A87"/>
    <w:rsid w:val="31DB16A7"/>
    <w:rsid w:val="33A670F3"/>
    <w:rsid w:val="364A6DFC"/>
    <w:rsid w:val="375D2B5F"/>
    <w:rsid w:val="40E1715D"/>
    <w:rsid w:val="419C0824"/>
    <w:rsid w:val="44244964"/>
    <w:rsid w:val="478D36CC"/>
    <w:rsid w:val="483B5F5B"/>
    <w:rsid w:val="48BF3B36"/>
    <w:rsid w:val="49E64E4D"/>
    <w:rsid w:val="57404164"/>
    <w:rsid w:val="5C83014D"/>
    <w:rsid w:val="5E145AF2"/>
    <w:rsid w:val="5F372BCB"/>
    <w:rsid w:val="5F412942"/>
    <w:rsid w:val="60785E58"/>
    <w:rsid w:val="64C47775"/>
    <w:rsid w:val="678437B5"/>
    <w:rsid w:val="6B216E94"/>
    <w:rsid w:val="6D22312D"/>
    <w:rsid w:val="70C1078D"/>
    <w:rsid w:val="7451111C"/>
    <w:rsid w:val="75D26FF0"/>
    <w:rsid w:val="775A30EF"/>
    <w:rsid w:val="7BC77455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theme="minorBidi"/>
      <w:b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</Words>
  <Characters>306</Characters>
  <Lines>2</Lines>
  <Paragraphs>1</Paragraphs>
  <TotalTime>11</TotalTime>
  <ScaleCrop>false</ScaleCrop>
  <LinksUpToDate>false</LinksUpToDate>
  <CharactersWithSpaces>358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dcterms:modified xsi:type="dcterms:W3CDTF">2024-04-29T08:12:46Z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F1697E6B5CF24CE0BB32BA6A673CD8F1_13</vt:lpwstr>
  </property>
</Properties>
</file>