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4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lang w:val="en-US" w:eastAsia="zh-CN"/>
        </w:rPr>
        <w:t>山东公用北湖污水处理有限公司</w:t>
      </w:r>
      <w:r>
        <w:rPr>
          <w:rFonts w:hint="eastAsia" w:ascii="方正小标宋简体" w:hAnsi="方正小标宋简体" w:eastAsia="方正小标宋简体" w:cs="方正小标宋简体"/>
          <w:b/>
          <w:bCs/>
          <w:sz w:val="44"/>
          <w:szCs w:val="44"/>
        </w:rPr>
        <w:t xml:space="preserve"> </w:t>
      </w:r>
    </w:p>
    <w:p>
      <w:pPr>
        <w:snapToGrid w:val="0"/>
        <w:spacing w:line="640" w:lineRule="exact"/>
        <w:jc w:val="center"/>
        <w:rPr>
          <w:rFonts w:hint="eastAsia" w:ascii="宋体" w:hAnsi="宋体" w:eastAsia="方正小标宋简体" w:cs="宋体"/>
          <w:sz w:val="24"/>
          <w:lang w:eastAsia="zh-CN"/>
        </w:rPr>
      </w:pPr>
      <w:r>
        <w:rPr>
          <w:rFonts w:hint="eastAsia" w:ascii="方正小标宋简体" w:hAnsi="方正小标宋简体" w:eastAsia="方正小标宋简体" w:cs="方正小标宋简体"/>
          <w:b/>
          <w:bCs/>
          <w:sz w:val="44"/>
          <w:szCs w:val="44"/>
        </w:rPr>
        <w:t>202</w:t>
      </w:r>
      <w:r>
        <w:rPr>
          <w:rFonts w:hint="eastAsia" w:ascii="方正小标宋简体" w:hAnsi="方正小标宋简体" w:eastAsia="方正小标宋简体" w:cs="方正小标宋简体"/>
          <w:b/>
          <w:bCs/>
          <w:sz w:val="44"/>
          <w:szCs w:val="44"/>
          <w:lang w:val="en-US" w:eastAsia="zh-CN"/>
        </w:rPr>
        <w:t>4</w:t>
      </w:r>
      <w:r>
        <w:rPr>
          <w:rFonts w:hint="eastAsia" w:ascii="方正小标宋简体" w:hAnsi="方正小标宋简体" w:eastAsia="方正小标宋简体" w:cs="方正小标宋简体"/>
          <w:b/>
          <w:bCs/>
          <w:sz w:val="44"/>
          <w:szCs w:val="44"/>
        </w:rPr>
        <w:t>年第</w:t>
      </w:r>
      <w:r>
        <w:rPr>
          <w:rFonts w:hint="eastAsia" w:ascii="方正小标宋简体" w:hAnsi="方正小标宋简体" w:eastAsia="方正小标宋简体" w:cs="方正小标宋简体"/>
          <w:b/>
          <w:bCs/>
          <w:sz w:val="44"/>
          <w:szCs w:val="44"/>
          <w:lang w:val="en-US" w:eastAsia="zh-CN"/>
        </w:rPr>
        <w:t>一</w:t>
      </w:r>
      <w:r>
        <w:rPr>
          <w:rFonts w:hint="eastAsia" w:ascii="方正小标宋简体" w:hAnsi="方正小标宋简体" w:eastAsia="方正小标宋简体" w:cs="方正小标宋简体"/>
          <w:b/>
          <w:bCs/>
          <w:sz w:val="44"/>
          <w:szCs w:val="44"/>
        </w:rPr>
        <w:t>季度财务重大信息公开</w:t>
      </w:r>
    </w:p>
    <w:p>
      <w:pPr>
        <w:rPr>
          <w:rFonts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 xml:space="preserve"> </w:t>
      </w:r>
    </w:p>
    <w:p>
      <w:pPr>
        <w:snapToGrid w:val="0"/>
        <w:spacing w:line="580" w:lineRule="exact"/>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 xml:space="preserve">一、公司基本情况 </w:t>
      </w:r>
    </w:p>
    <w:p>
      <w:pPr>
        <w:spacing w:line="600" w:lineRule="exact"/>
        <w:ind w:firstLine="639" w:firstLineChars="199"/>
        <w:rPr>
          <w:rFonts w:hint="eastAsia"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pPr>
      <w:r>
        <w:rPr>
          <w:rFonts w:hint="eastAsia"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t>1.公司名称：山东公用北湖污水处理有限公司有限公司</w:t>
      </w:r>
    </w:p>
    <w:p>
      <w:pPr>
        <w:spacing w:line="600" w:lineRule="exact"/>
        <w:ind w:firstLine="639" w:firstLineChars="199"/>
        <w:rPr>
          <w:rFonts w:hint="eastAsia"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pPr>
      <w:r>
        <w:rPr>
          <w:rFonts w:hint="eastAsia"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t>2.法定代表人：孙海滨</w:t>
      </w:r>
    </w:p>
    <w:p>
      <w:pPr>
        <w:spacing w:line="600" w:lineRule="exact"/>
        <w:ind w:firstLine="639" w:firstLineChars="199"/>
        <w:rPr>
          <w:rFonts w:hint="eastAsia"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pPr>
      <w:r>
        <w:rPr>
          <w:rFonts w:hint="eastAsia"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t>3.注册地址：山东省济宁北湖省级旅游度假区许庄街道临菏路与237国道交叉口东800米。</w:t>
      </w:r>
    </w:p>
    <w:p>
      <w:pPr>
        <w:spacing w:line="600" w:lineRule="exact"/>
        <w:ind w:firstLine="639" w:firstLineChars="199"/>
        <w:rPr>
          <w:rFonts w:hint="eastAsia"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pPr>
      <w:r>
        <w:rPr>
          <w:rFonts w:hint="eastAsia"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t>4.经营范围：许可项目:自来水生产与供应:施工专业作业;建筑劳务分包;建设工程施工;污水处理及其再生利用;建设工程设计。(依法须经批准的项目，经相关部门批准后方可开展经营活动，具体经营项目以相关部门批准文件或许可证件为准)一般项目:工程技术服务(规划管理、勘察、设计监理除外);工程管理服务:工程和技术研究和试验发展;专业设计服务。(除依法须经批准的项目外，凭营业执照依法自主开展经营活动)。</w:t>
      </w:r>
    </w:p>
    <w:p>
      <w:pPr>
        <w:spacing w:line="600" w:lineRule="exact"/>
        <w:ind w:firstLine="639" w:firstLineChars="199"/>
        <w:rPr>
          <w:rFonts w:hint="eastAsia"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pPr>
      <w:r>
        <w:rPr>
          <w:rFonts w:hint="eastAsia"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t xml:space="preserve">5.公司简介: </w:t>
      </w:r>
    </w:p>
    <w:p>
      <w:pPr>
        <w:spacing w:line="600" w:lineRule="exact"/>
        <w:ind w:firstLine="639" w:firstLineChars="199"/>
        <w:rPr>
          <w:rFonts w:hint="default"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pPr>
      <w:r>
        <w:rPr>
          <w:rFonts w:hint="default"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t>山东公用北湖污水处理有限公司隶属于山东公用水务集团有限公司，是济宁市住建委批准的城市污水处理二级企业，被太白湖新区人民政府授予城区范围内污水处理30年特许经营权。公司处理工艺采用“A2O”生物处理+V型滤池过滤深度处理”，处理能力2万m3/d，2011年7月立项批准，2012年9月建设竣工，2013年2月调试运行，注册资本金8500万元，现有员工29人。</w:t>
      </w:r>
    </w:p>
    <w:p>
      <w:pPr>
        <w:spacing w:line="600" w:lineRule="exact"/>
        <w:ind w:firstLine="639" w:firstLineChars="199"/>
        <w:rPr>
          <w:rFonts w:hint="default"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pPr>
      <w:r>
        <w:rPr>
          <w:rFonts w:hint="default"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t>山东公用北湖污水处理有限公司是国家南水北调东线基础性工程之一，也是济宁市重点环保工程、生态工程和民心工程。运行以来，出水稳定达标排放，水质优于《城镇污水处理厂污染物排放标准》（GB18918-2002） 一级A排放标准要求，2023年污水处理厂提标改造后，主要出水水质将达到（GB3838-2002）的准Ⅳ类，中水排入北湖湿地，作为景观用水使用，同时经湿地植被进一步降解后排入南四湖。</w:t>
      </w:r>
    </w:p>
    <w:p>
      <w:pPr>
        <w:spacing w:line="600" w:lineRule="exact"/>
        <w:ind w:firstLine="639" w:firstLineChars="199"/>
        <w:rPr>
          <w:rFonts w:hint="default"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pPr>
      <w:r>
        <w:rPr>
          <w:rFonts w:hint="default"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t>山东公用北湖污水处理有限公司的运行是太白湖新区社会发展、南四湖流域水体环境保护的需要，对济宁市经济、环境协调发展具有重要意义。</w:t>
      </w:r>
    </w:p>
    <w:p>
      <w:pPr>
        <w:tabs>
          <w:tab w:val="left" w:pos="6861"/>
        </w:tabs>
        <w:bidi w:val="0"/>
        <w:jc w:val="left"/>
        <w:rPr>
          <w:rFonts w:hint="eastAsia"/>
          <w:kern w:val="2"/>
          <w:sz w:val="21"/>
          <w:lang w:val="en-US" w:eastAsia="zh-CN" w:bidi="ar-SA"/>
        </w:rPr>
      </w:pPr>
      <w:r>
        <w:rPr>
          <w:rFonts w:hint="eastAsia"/>
          <w:kern w:val="2"/>
          <w:sz w:val="21"/>
          <w:lang w:val="en-US" w:eastAsia="zh-CN" w:bidi="ar-SA"/>
        </w:rPr>
        <w:tab/>
      </w:r>
    </w:p>
    <w:p>
      <w:pPr>
        <w:snapToGrid w:val="0"/>
        <w:spacing w:line="580" w:lineRule="exact"/>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二、主要会计数据和财务指标（截至到202</w:t>
      </w:r>
      <w:r>
        <w:rPr>
          <w:rFonts w:hint="eastAsia" w:ascii="方正黑体简体" w:hAnsi="方正黑体简体" w:eastAsia="方正黑体简体" w:cs="方正黑体简体"/>
          <w:b/>
          <w:bCs/>
          <w:sz w:val="32"/>
          <w:szCs w:val="32"/>
          <w:lang w:val="en-US" w:eastAsia="zh-CN"/>
        </w:rPr>
        <w:t>4</w:t>
      </w:r>
      <w:r>
        <w:rPr>
          <w:rFonts w:hint="eastAsia" w:ascii="方正黑体简体" w:hAnsi="方正黑体简体" w:eastAsia="方正黑体简体" w:cs="方正黑体简体"/>
          <w:b/>
          <w:bCs/>
          <w:sz w:val="32"/>
          <w:szCs w:val="32"/>
        </w:rPr>
        <w:t>年</w:t>
      </w:r>
      <w:r>
        <w:rPr>
          <w:rFonts w:hint="eastAsia" w:ascii="方正黑体简体" w:hAnsi="方正黑体简体" w:eastAsia="方正黑体简体" w:cs="方正黑体简体"/>
          <w:b/>
          <w:bCs/>
          <w:sz w:val="32"/>
          <w:szCs w:val="32"/>
          <w:lang w:val="en-US" w:eastAsia="zh-CN"/>
        </w:rPr>
        <w:t>3</w:t>
      </w:r>
      <w:r>
        <w:rPr>
          <w:rFonts w:hint="eastAsia" w:ascii="方正黑体简体" w:hAnsi="方正黑体简体" w:eastAsia="方正黑体简体" w:cs="方正黑体简体"/>
          <w:b/>
          <w:bCs/>
          <w:sz w:val="32"/>
          <w:szCs w:val="32"/>
        </w:rPr>
        <w:t>月</w:t>
      </w:r>
      <w:r>
        <w:rPr>
          <w:rFonts w:hint="eastAsia" w:ascii="方正黑体简体" w:hAnsi="方正黑体简体" w:eastAsia="方正黑体简体" w:cs="方正黑体简体"/>
          <w:b/>
          <w:bCs/>
          <w:sz w:val="32"/>
          <w:szCs w:val="32"/>
          <w:lang w:val="en-US" w:eastAsia="zh-CN"/>
        </w:rPr>
        <w:t>31</w:t>
      </w:r>
      <w:r>
        <w:rPr>
          <w:rFonts w:hint="eastAsia" w:ascii="方正黑体简体" w:hAnsi="方正黑体简体" w:eastAsia="方正黑体简体" w:cs="方正黑体简体"/>
          <w:b/>
          <w:bCs/>
          <w:sz w:val="32"/>
          <w:szCs w:val="32"/>
        </w:rPr>
        <w:t>日）</w:t>
      </w:r>
    </w:p>
    <w:p>
      <w:pPr>
        <w:ind w:firstLine="7027" w:firstLineChars="2500"/>
        <w:rPr>
          <w:rFonts w:hint="eastAsia" w:ascii="方正楷体简体" w:hAnsi="方正楷体简体" w:eastAsia="方正楷体简体" w:cs="方正楷体简体"/>
          <w:b/>
          <w:bCs/>
          <w:sz w:val="28"/>
          <w:szCs w:val="28"/>
        </w:rPr>
      </w:pPr>
      <w:r>
        <w:rPr>
          <w:rFonts w:hint="eastAsia" w:ascii="方正楷体简体" w:hAnsi="方正楷体简体" w:eastAsia="方正楷体简体" w:cs="方正楷体简体"/>
          <w:b/>
          <w:bCs/>
          <w:sz w:val="28"/>
          <w:szCs w:val="28"/>
        </w:rPr>
        <w:t>单位： 万元</w:t>
      </w:r>
    </w:p>
    <w:tbl>
      <w:tblPr>
        <w:tblStyle w:val="5"/>
        <w:tblW w:w="0" w:type="auto"/>
        <w:tblInd w:w="25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70"/>
        <w:gridCol w:w="4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870" w:type="dxa"/>
          </w:tcPr>
          <w:p>
            <w:pPr>
              <w:jc w:val="center"/>
              <w:rPr>
                <w:rFonts w:ascii="方正黑体简体" w:hAnsi="方正黑体简体" w:eastAsia="方正黑体简体" w:cs="方正黑体简体"/>
                <w:b/>
                <w:bCs/>
                <w:sz w:val="28"/>
                <w:szCs w:val="28"/>
              </w:rPr>
            </w:pPr>
            <w:r>
              <w:rPr>
                <w:rFonts w:hint="eastAsia" w:ascii="方正黑体简体" w:hAnsi="方正黑体简体" w:eastAsia="方正黑体简体" w:cs="方正黑体简体"/>
                <w:b/>
                <w:bCs/>
                <w:sz w:val="28"/>
                <w:szCs w:val="28"/>
              </w:rPr>
              <w:t>营业总收入</w:t>
            </w:r>
          </w:p>
        </w:tc>
        <w:tc>
          <w:tcPr>
            <w:tcW w:w="4665" w:type="dxa"/>
          </w:tcPr>
          <w:p>
            <w:pPr>
              <w:spacing w:line="600" w:lineRule="exact"/>
              <w:ind w:firstLine="559" w:firstLineChars="199"/>
              <w:jc w:val="center"/>
              <w:rPr>
                <w:rFonts w:hint="default" w:ascii="Times New Roman" w:hAnsi="Times New Roman" w:eastAsia="方正仿宋简体" w:cs="Times New Roman"/>
                <w:b/>
                <w:bCs/>
                <w:color w:val="000000" w:themeColor="text1"/>
                <w:sz w:val="28"/>
                <w:szCs w:val="28"/>
                <w:shd w:val="clear" w:color="auto" w:fill="auto"/>
                <w:lang w:val="en-US" w:eastAsia="zh-CN"/>
                <w14:textFill>
                  <w14:solidFill>
                    <w14:schemeClr w14:val="tx1"/>
                  </w14:solidFill>
                </w14:textFill>
              </w:rPr>
            </w:pPr>
            <w:r>
              <w:rPr>
                <w:rFonts w:hint="eastAsia" w:ascii="Times New Roman" w:hAnsi="Times New Roman" w:eastAsia="方正仿宋简体" w:cs="Times New Roman"/>
                <w:b/>
                <w:bCs/>
                <w:color w:val="000000" w:themeColor="text1"/>
                <w:sz w:val="28"/>
                <w:szCs w:val="28"/>
                <w:shd w:val="clear" w:color="auto" w:fill="auto"/>
                <w:lang w:val="en-US" w:eastAsia="zh-CN"/>
                <w14:textFill>
                  <w14:solidFill>
                    <w14:schemeClr w14:val="tx1"/>
                  </w14:solidFill>
                </w14:textFill>
              </w:rPr>
              <w:t>234.20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0" w:type="dxa"/>
          </w:tcPr>
          <w:p>
            <w:pPr>
              <w:jc w:val="center"/>
              <w:rPr>
                <w:rFonts w:ascii="方正黑体简体" w:hAnsi="方正黑体简体" w:eastAsia="方正黑体简体" w:cs="方正黑体简体"/>
                <w:b/>
                <w:bCs/>
                <w:sz w:val="28"/>
                <w:szCs w:val="28"/>
              </w:rPr>
            </w:pPr>
            <w:r>
              <w:rPr>
                <w:rFonts w:hint="eastAsia" w:ascii="方正黑体简体" w:hAnsi="方正黑体简体" w:eastAsia="方正黑体简体" w:cs="方正黑体简体"/>
                <w:b/>
                <w:bCs/>
                <w:sz w:val="28"/>
                <w:szCs w:val="28"/>
              </w:rPr>
              <w:t>营业总成本</w:t>
            </w:r>
          </w:p>
        </w:tc>
        <w:tc>
          <w:tcPr>
            <w:tcW w:w="4665" w:type="dxa"/>
          </w:tcPr>
          <w:p>
            <w:pPr>
              <w:spacing w:line="600" w:lineRule="exact"/>
              <w:ind w:firstLine="559" w:firstLineChars="199"/>
              <w:jc w:val="center"/>
              <w:rPr>
                <w:rFonts w:hint="default" w:ascii="Times New Roman" w:hAnsi="Times New Roman" w:eastAsia="方正仿宋简体" w:cs="Times New Roman"/>
                <w:b/>
                <w:bCs/>
                <w:color w:val="000000" w:themeColor="text1"/>
                <w:sz w:val="28"/>
                <w:szCs w:val="28"/>
                <w:shd w:val="clear" w:color="auto" w:fill="auto"/>
                <w:lang w:val="en-US" w:eastAsia="zh-CN"/>
                <w14:textFill>
                  <w14:solidFill>
                    <w14:schemeClr w14:val="tx1"/>
                  </w14:solidFill>
                </w14:textFill>
              </w:rPr>
            </w:pPr>
            <w:r>
              <w:rPr>
                <w:rFonts w:hint="eastAsia" w:ascii="Times New Roman" w:hAnsi="Times New Roman" w:eastAsia="方正仿宋简体" w:cs="Times New Roman"/>
                <w:b/>
                <w:bCs/>
                <w:color w:val="000000" w:themeColor="text1"/>
                <w:sz w:val="28"/>
                <w:szCs w:val="28"/>
                <w:shd w:val="clear" w:color="auto" w:fill="auto"/>
                <w:lang w:val="en-US" w:eastAsia="zh-CN"/>
                <w14:textFill>
                  <w14:solidFill>
                    <w14:schemeClr w14:val="tx1"/>
                  </w14:solidFill>
                </w14:textFill>
              </w:rPr>
              <w:t>390.53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0" w:type="dxa"/>
          </w:tcPr>
          <w:p>
            <w:pPr>
              <w:jc w:val="center"/>
              <w:rPr>
                <w:rFonts w:ascii="方正黑体简体" w:hAnsi="方正黑体简体" w:eastAsia="方正黑体简体" w:cs="方正黑体简体"/>
                <w:b/>
                <w:bCs/>
                <w:sz w:val="28"/>
                <w:szCs w:val="28"/>
              </w:rPr>
            </w:pPr>
            <w:r>
              <w:rPr>
                <w:rFonts w:hint="eastAsia" w:ascii="方正黑体简体" w:hAnsi="方正黑体简体" w:eastAsia="方正黑体简体" w:cs="方正黑体简体"/>
                <w:b/>
                <w:bCs/>
                <w:sz w:val="28"/>
                <w:szCs w:val="28"/>
              </w:rPr>
              <w:t>利润总额</w:t>
            </w:r>
          </w:p>
        </w:tc>
        <w:tc>
          <w:tcPr>
            <w:tcW w:w="4665" w:type="dxa"/>
          </w:tcPr>
          <w:p>
            <w:pPr>
              <w:spacing w:line="600" w:lineRule="exact"/>
              <w:ind w:firstLine="559" w:firstLineChars="199"/>
              <w:jc w:val="center"/>
              <w:rPr>
                <w:rFonts w:hint="default" w:ascii="Times New Roman" w:hAnsi="Times New Roman" w:eastAsia="方正仿宋简体" w:cs="Times New Roman"/>
                <w:b/>
                <w:bCs/>
                <w:color w:val="000000" w:themeColor="text1"/>
                <w:sz w:val="28"/>
                <w:szCs w:val="28"/>
                <w:shd w:val="clear" w:color="auto" w:fill="auto"/>
                <w:lang w:val="en-US" w:eastAsia="zh-CN"/>
                <w14:textFill>
                  <w14:solidFill>
                    <w14:schemeClr w14:val="tx1"/>
                  </w14:solidFill>
                </w14:textFill>
              </w:rPr>
            </w:pPr>
            <w:r>
              <w:rPr>
                <w:rFonts w:hint="eastAsia" w:ascii="Times New Roman" w:hAnsi="Times New Roman" w:eastAsia="方正仿宋简体" w:cs="Times New Roman"/>
                <w:b/>
                <w:bCs/>
                <w:color w:val="000000" w:themeColor="text1"/>
                <w:sz w:val="28"/>
                <w:szCs w:val="28"/>
                <w:shd w:val="clear" w:color="auto" w:fill="auto"/>
                <w:lang w:val="en-US" w:eastAsia="zh-CN"/>
                <w14:textFill>
                  <w14:solidFill>
                    <w14:schemeClr w14:val="tx1"/>
                  </w14:solidFill>
                </w14:textFill>
              </w:rPr>
              <w:t>-156.26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0" w:type="dxa"/>
          </w:tcPr>
          <w:p>
            <w:pPr>
              <w:jc w:val="center"/>
              <w:rPr>
                <w:rFonts w:ascii="方正黑体简体" w:hAnsi="方正黑体简体" w:eastAsia="方正黑体简体" w:cs="方正黑体简体"/>
                <w:b/>
                <w:bCs/>
                <w:sz w:val="28"/>
                <w:szCs w:val="28"/>
              </w:rPr>
            </w:pPr>
            <w:r>
              <w:rPr>
                <w:rFonts w:hint="eastAsia" w:ascii="方正黑体简体" w:hAnsi="方正黑体简体" w:eastAsia="方正黑体简体" w:cs="方正黑体简体"/>
                <w:b/>
                <w:bCs/>
                <w:sz w:val="28"/>
                <w:szCs w:val="28"/>
              </w:rPr>
              <w:t>净利润</w:t>
            </w:r>
          </w:p>
        </w:tc>
        <w:tc>
          <w:tcPr>
            <w:tcW w:w="4665" w:type="dxa"/>
          </w:tcPr>
          <w:p>
            <w:pPr>
              <w:spacing w:line="600" w:lineRule="exact"/>
              <w:ind w:firstLine="559" w:firstLineChars="199"/>
              <w:jc w:val="center"/>
              <w:rPr>
                <w:rFonts w:hint="default" w:ascii="Times New Roman" w:hAnsi="Times New Roman" w:eastAsia="方正仿宋简体" w:cs="Times New Roman"/>
                <w:b/>
                <w:bCs/>
                <w:color w:val="000000" w:themeColor="text1"/>
                <w:sz w:val="28"/>
                <w:szCs w:val="28"/>
                <w:shd w:val="clear" w:color="auto" w:fill="auto"/>
                <w:lang w:val="en-US" w:eastAsia="zh-CN"/>
                <w14:textFill>
                  <w14:solidFill>
                    <w14:schemeClr w14:val="tx1"/>
                  </w14:solidFill>
                </w14:textFill>
              </w:rPr>
            </w:pPr>
            <w:r>
              <w:rPr>
                <w:rFonts w:hint="eastAsia" w:ascii="Times New Roman" w:hAnsi="Times New Roman" w:eastAsia="方正仿宋简体" w:cs="Times New Roman"/>
                <w:b/>
                <w:bCs/>
                <w:color w:val="000000" w:themeColor="text1"/>
                <w:sz w:val="28"/>
                <w:szCs w:val="28"/>
                <w:shd w:val="clear" w:color="auto" w:fill="auto"/>
                <w:lang w:val="en-US" w:eastAsia="zh-CN"/>
                <w14:textFill>
                  <w14:solidFill>
                    <w14:schemeClr w14:val="tx1"/>
                  </w14:solidFill>
                </w14:textFill>
              </w:rPr>
              <w:t>-156.26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0" w:type="dxa"/>
          </w:tcPr>
          <w:p>
            <w:pPr>
              <w:jc w:val="center"/>
              <w:rPr>
                <w:rFonts w:ascii="方正黑体简体" w:hAnsi="方正黑体简体" w:eastAsia="方正黑体简体" w:cs="方正黑体简体"/>
                <w:b/>
                <w:bCs/>
                <w:sz w:val="28"/>
                <w:szCs w:val="28"/>
              </w:rPr>
            </w:pPr>
            <w:r>
              <w:rPr>
                <w:rFonts w:hint="eastAsia" w:ascii="方正黑体简体" w:hAnsi="方正黑体简体" w:eastAsia="方正黑体简体" w:cs="方正黑体简体"/>
                <w:b/>
                <w:bCs/>
                <w:sz w:val="28"/>
                <w:szCs w:val="28"/>
              </w:rPr>
              <w:t>资产总额</w:t>
            </w:r>
          </w:p>
        </w:tc>
        <w:tc>
          <w:tcPr>
            <w:tcW w:w="4665" w:type="dxa"/>
          </w:tcPr>
          <w:p>
            <w:pPr>
              <w:spacing w:line="600" w:lineRule="exact"/>
              <w:ind w:firstLine="559" w:firstLineChars="199"/>
              <w:jc w:val="center"/>
              <w:rPr>
                <w:rFonts w:hint="default" w:ascii="Times New Roman" w:hAnsi="Times New Roman" w:eastAsia="方正仿宋简体" w:cs="Times New Roman"/>
                <w:b/>
                <w:bCs/>
                <w:color w:val="000000" w:themeColor="text1"/>
                <w:sz w:val="28"/>
                <w:szCs w:val="28"/>
                <w:shd w:val="clear" w:color="auto" w:fill="auto"/>
                <w:lang w:val="en-US" w:eastAsia="zh-CN"/>
                <w14:textFill>
                  <w14:solidFill>
                    <w14:schemeClr w14:val="tx1"/>
                  </w14:solidFill>
                </w14:textFill>
              </w:rPr>
            </w:pPr>
            <w:r>
              <w:rPr>
                <w:rFonts w:hint="eastAsia" w:ascii="Times New Roman" w:hAnsi="Times New Roman" w:eastAsia="方正仿宋简体" w:cs="Times New Roman"/>
                <w:b/>
                <w:bCs/>
                <w:color w:val="000000" w:themeColor="text1"/>
                <w:sz w:val="28"/>
                <w:szCs w:val="28"/>
                <w:shd w:val="clear" w:color="auto" w:fill="auto"/>
                <w:lang w:val="en-US" w:eastAsia="zh-CN"/>
                <w14:textFill>
                  <w14:solidFill>
                    <w14:schemeClr w14:val="tx1"/>
                  </w14:solidFill>
                </w14:textFill>
              </w:rPr>
              <w:t>6163.64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0" w:type="dxa"/>
          </w:tcPr>
          <w:p>
            <w:pPr>
              <w:jc w:val="center"/>
              <w:rPr>
                <w:rFonts w:ascii="方正黑体简体" w:hAnsi="方正黑体简体" w:eastAsia="方正黑体简体" w:cs="方正黑体简体"/>
                <w:b/>
                <w:bCs/>
                <w:sz w:val="28"/>
                <w:szCs w:val="28"/>
              </w:rPr>
            </w:pPr>
            <w:r>
              <w:rPr>
                <w:rFonts w:hint="eastAsia" w:ascii="方正黑体简体" w:hAnsi="方正黑体简体" w:eastAsia="方正黑体简体" w:cs="方正黑体简体"/>
                <w:b/>
                <w:bCs/>
                <w:sz w:val="28"/>
                <w:szCs w:val="28"/>
              </w:rPr>
              <w:t>负债总额</w:t>
            </w:r>
          </w:p>
        </w:tc>
        <w:tc>
          <w:tcPr>
            <w:tcW w:w="4665" w:type="dxa"/>
          </w:tcPr>
          <w:p>
            <w:pPr>
              <w:spacing w:line="600" w:lineRule="exact"/>
              <w:ind w:firstLine="559" w:firstLineChars="199"/>
              <w:jc w:val="center"/>
              <w:rPr>
                <w:rFonts w:hint="default" w:ascii="Times New Roman" w:hAnsi="Times New Roman" w:eastAsia="方正仿宋简体" w:cs="Times New Roman"/>
                <w:b/>
                <w:bCs/>
                <w:color w:val="000000" w:themeColor="text1"/>
                <w:sz w:val="28"/>
                <w:szCs w:val="28"/>
                <w:shd w:val="clear" w:color="auto" w:fill="auto"/>
                <w:lang w:val="en-US" w:eastAsia="zh-CN"/>
                <w14:textFill>
                  <w14:solidFill>
                    <w14:schemeClr w14:val="tx1"/>
                  </w14:solidFill>
                </w14:textFill>
              </w:rPr>
            </w:pPr>
            <w:r>
              <w:rPr>
                <w:rFonts w:hint="eastAsia" w:ascii="Times New Roman" w:hAnsi="Times New Roman" w:eastAsia="方正仿宋简体" w:cs="Times New Roman"/>
                <w:b/>
                <w:bCs/>
                <w:color w:val="000000" w:themeColor="text1"/>
                <w:sz w:val="28"/>
                <w:szCs w:val="28"/>
                <w:shd w:val="clear" w:color="auto" w:fill="auto"/>
                <w:lang w:val="en-US" w:eastAsia="zh-CN"/>
                <w14:textFill>
                  <w14:solidFill>
                    <w14:schemeClr w14:val="tx1"/>
                  </w14:solidFill>
                </w14:textFill>
              </w:rPr>
              <w:t>13768.97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0" w:type="dxa"/>
          </w:tcPr>
          <w:p>
            <w:pPr>
              <w:jc w:val="center"/>
              <w:rPr>
                <w:rFonts w:ascii="方正黑体简体" w:hAnsi="方正黑体简体" w:eastAsia="方正黑体简体" w:cs="方正黑体简体"/>
                <w:b/>
                <w:bCs/>
                <w:sz w:val="28"/>
                <w:szCs w:val="28"/>
              </w:rPr>
            </w:pPr>
            <w:r>
              <w:rPr>
                <w:rFonts w:hint="eastAsia" w:ascii="方正黑体简体" w:hAnsi="方正黑体简体" w:eastAsia="方正黑体简体" w:cs="方正黑体简体"/>
                <w:b/>
                <w:bCs/>
                <w:sz w:val="28"/>
                <w:szCs w:val="28"/>
              </w:rPr>
              <w:t>所有者权益</w:t>
            </w:r>
          </w:p>
        </w:tc>
        <w:tc>
          <w:tcPr>
            <w:tcW w:w="4665" w:type="dxa"/>
          </w:tcPr>
          <w:p>
            <w:pPr>
              <w:spacing w:line="600" w:lineRule="exact"/>
              <w:ind w:firstLine="559" w:firstLineChars="199"/>
              <w:jc w:val="center"/>
              <w:rPr>
                <w:rFonts w:hint="default" w:ascii="Times New Roman" w:hAnsi="Times New Roman" w:eastAsia="方正仿宋简体" w:cs="Times New Roman"/>
                <w:b/>
                <w:bCs/>
                <w:color w:val="000000" w:themeColor="text1"/>
                <w:sz w:val="28"/>
                <w:szCs w:val="28"/>
                <w:shd w:val="clear" w:color="auto" w:fill="auto"/>
                <w:lang w:val="en-US" w:eastAsia="zh-CN"/>
                <w14:textFill>
                  <w14:solidFill>
                    <w14:schemeClr w14:val="tx1"/>
                  </w14:solidFill>
                </w14:textFill>
              </w:rPr>
            </w:pPr>
            <w:r>
              <w:rPr>
                <w:rFonts w:hint="eastAsia" w:ascii="Times New Roman" w:hAnsi="Times New Roman" w:eastAsia="方正仿宋简体" w:cs="Times New Roman"/>
                <w:b/>
                <w:bCs/>
                <w:color w:val="000000" w:themeColor="text1"/>
                <w:sz w:val="28"/>
                <w:szCs w:val="28"/>
                <w:shd w:val="clear" w:color="auto" w:fill="auto"/>
                <w:lang w:val="en-US" w:eastAsia="zh-CN"/>
                <w14:textFill>
                  <w14:solidFill>
                    <w14:schemeClr w14:val="tx1"/>
                  </w14:solidFill>
                </w14:textFill>
              </w:rPr>
              <w:t>-7605.33</w:t>
            </w:r>
          </w:p>
        </w:tc>
      </w:tr>
    </w:tbl>
    <w:p>
      <w:pPr>
        <w:snapToGrid w:val="0"/>
        <w:spacing w:line="580" w:lineRule="exact"/>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三、财务预算执行情况</w:t>
      </w:r>
    </w:p>
    <w:p>
      <w:pPr>
        <w:spacing w:line="600" w:lineRule="exact"/>
        <w:ind w:firstLine="639" w:firstLineChars="199"/>
        <w:rPr>
          <w:rFonts w:hint="default"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pPr>
      <w:r>
        <w:rPr>
          <w:rFonts w:hint="eastAsia"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t>1.营业收入：本年预算1140.00万元，截至到2024年3月31日，完成20.54%。</w:t>
      </w:r>
    </w:p>
    <w:p>
      <w:pPr>
        <w:spacing w:line="600" w:lineRule="exact"/>
        <w:ind w:firstLine="639" w:firstLineChars="199"/>
        <w:rPr>
          <w:rFonts w:hint="default"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pPr>
      <w:r>
        <w:rPr>
          <w:rFonts w:hint="eastAsia" w:ascii="Times New Roman" w:hAnsi="Times New Roman" w:eastAsia="方正仿宋简体" w:cs="Times New Roman"/>
          <w:b/>
          <w:bCs/>
          <w:color w:val="000000" w:themeColor="text1"/>
          <w:sz w:val="32"/>
          <w:szCs w:val="32"/>
          <w:shd w:val="clear" w:color="auto" w:fill="auto"/>
          <w:lang w:val="en-US" w:eastAsia="zh-CN"/>
          <w14:textFill>
            <w14:solidFill>
              <w14:schemeClr w14:val="tx1"/>
            </w14:solidFill>
          </w14:textFill>
        </w:rPr>
        <w:t>2.利润总额：本年预算-1037.00万元，截至到2024年3月31日，完成184.93%。</w:t>
      </w:r>
    </w:p>
    <w:p>
      <w:pPr>
        <w:snapToGrid w:val="0"/>
        <w:spacing w:line="580" w:lineRule="exact"/>
        <w:ind w:firstLine="643" w:firstLineChars="200"/>
        <w:rPr>
          <w:rFonts w:ascii="黑体" w:hAnsi="黑体" w:eastAsia="黑体" w:cs="黑体"/>
          <w:b/>
          <w:bCs/>
          <w:sz w:val="32"/>
          <w:szCs w:val="32"/>
        </w:rPr>
      </w:pPr>
      <w:r>
        <w:rPr>
          <w:rFonts w:hint="eastAsia" w:ascii="黑体" w:hAnsi="黑体" w:eastAsia="黑体" w:cs="黑体"/>
          <w:b/>
          <w:bCs/>
          <w:sz w:val="32"/>
          <w:szCs w:val="32"/>
        </w:rPr>
        <w:t>四、本季度内发生的重大事项及对企业的影响</w:t>
      </w:r>
    </w:p>
    <w:p>
      <w:pPr>
        <w:snapToGrid w:val="0"/>
        <w:spacing w:line="580" w:lineRule="exact"/>
        <w:ind w:firstLine="643" w:firstLineChars="200"/>
        <w:rPr>
          <w:rFonts w:hint="eastAsia" w:ascii="方正仿宋简体" w:hAnsi="方正仿宋简体" w:eastAsia="方正仿宋简体" w:cs="方正仿宋简体"/>
          <w:b/>
          <w:bCs/>
          <w:sz w:val="32"/>
          <w:szCs w:val="32"/>
          <w:lang w:val="en-US" w:eastAsia="zh-CN"/>
        </w:rPr>
      </w:pPr>
      <w:r>
        <w:rPr>
          <w:rFonts w:hint="eastAsia" w:ascii="方正仿宋简体" w:hAnsi="方正仿宋简体" w:eastAsia="方正仿宋简体" w:cs="方正仿宋简体"/>
          <w:b/>
          <w:bCs/>
          <w:sz w:val="32"/>
          <w:szCs w:val="32"/>
          <w:lang w:val="en-US" w:eastAsia="zh-CN"/>
        </w:rPr>
        <w:t>无。</w:t>
      </w:r>
      <w:bookmarkStart w:id="0" w:name="_GoBack"/>
      <w:bookmarkEnd w:id="0"/>
    </w:p>
    <w:sectPr>
      <w:pgSz w:w="11906" w:h="16838"/>
      <w:pgMar w:top="2098" w:right="1474" w:bottom="1587"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华文中宋">
    <w:panose1 w:val="02010600040101010101"/>
    <w:charset w:val="86"/>
    <w:family w:val="auto"/>
    <w:pitch w:val="default"/>
    <w:sig w:usb0="00000287" w:usb1="080F0000" w:usb2="00000000" w:usb3="00000000" w:csb0="0004009F" w:csb1="DFD70000"/>
  </w:font>
  <w:font w:name="方正楷体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lZWY1MTZiMTkyZjJiYmE4ZmY2NmQ4YzIyODA0ODMifQ=="/>
  </w:docVars>
  <w:rsids>
    <w:rsidRoot w:val="13CC2444"/>
    <w:rsid w:val="001410B8"/>
    <w:rsid w:val="00332EF0"/>
    <w:rsid w:val="003F77BE"/>
    <w:rsid w:val="007E3428"/>
    <w:rsid w:val="007E5379"/>
    <w:rsid w:val="00AC6AB4"/>
    <w:rsid w:val="00BC3130"/>
    <w:rsid w:val="00C455E3"/>
    <w:rsid w:val="00C65B77"/>
    <w:rsid w:val="00D321DA"/>
    <w:rsid w:val="00EA422D"/>
    <w:rsid w:val="00FC157F"/>
    <w:rsid w:val="06DF3B7E"/>
    <w:rsid w:val="083245C7"/>
    <w:rsid w:val="09EC724C"/>
    <w:rsid w:val="0D6D5D2C"/>
    <w:rsid w:val="0E012F09"/>
    <w:rsid w:val="13CC2444"/>
    <w:rsid w:val="180477A4"/>
    <w:rsid w:val="19560A59"/>
    <w:rsid w:val="1C496371"/>
    <w:rsid w:val="245019CA"/>
    <w:rsid w:val="29D47C5C"/>
    <w:rsid w:val="2A4822AF"/>
    <w:rsid w:val="2BCE1D39"/>
    <w:rsid w:val="2D9F5C7A"/>
    <w:rsid w:val="33A670F3"/>
    <w:rsid w:val="3A0535E8"/>
    <w:rsid w:val="40E1715D"/>
    <w:rsid w:val="419C0824"/>
    <w:rsid w:val="44244964"/>
    <w:rsid w:val="49D226E6"/>
    <w:rsid w:val="50834E91"/>
    <w:rsid w:val="537F4EE3"/>
    <w:rsid w:val="57404164"/>
    <w:rsid w:val="5C83014D"/>
    <w:rsid w:val="5E145AF2"/>
    <w:rsid w:val="5F372BCB"/>
    <w:rsid w:val="5F412942"/>
    <w:rsid w:val="60785E58"/>
    <w:rsid w:val="678437B5"/>
    <w:rsid w:val="6F9560D3"/>
    <w:rsid w:val="70C1078D"/>
    <w:rsid w:val="7451111C"/>
    <w:rsid w:val="75D26FF0"/>
    <w:rsid w:val="775A30EF"/>
    <w:rsid w:val="79707C65"/>
    <w:rsid w:val="7FC25A17"/>
    <w:rsid w:val="7FC82E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0"/>
    <w:rPr>
      <w:kern w:val="2"/>
      <w:sz w:val="18"/>
      <w:szCs w:val="18"/>
    </w:rPr>
  </w:style>
  <w:style w:type="character" w:customStyle="1" w:styleId="8">
    <w:name w:val="页脚 字符"/>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650</Words>
  <Characters>754</Characters>
  <Lines>5</Lines>
  <Paragraphs>1</Paragraphs>
  <TotalTime>10</TotalTime>
  <ScaleCrop>false</ScaleCrop>
  <LinksUpToDate>false</LinksUpToDate>
  <CharactersWithSpaces>761</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2022-06-30T02:09:00Z</dcterms:created>
  <dc:creator>Mr.X</dc:creator>
  <cp:lastModifiedBy>张娜</cp:lastModifiedBy>
  <dcterms:modified xsi:type="dcterms:W3CDTF">2024-04-29T08:44:27Z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EA74C1FF97974B4C9BCB2A66CAC65296</vt:lpwstr>
  </property>
</Properties>
</file>