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曲阜公用水务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年第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季度财务重大信息公开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.公司名称：曲阜公用水务有限公司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2.法定代表人：骆东辉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3.注册地址：春秋西路118号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4.经营范围：污水处理；水质监测；管网新建和维护；中水的生产与销售。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5.公司简介:  曲阜公用水务有限公司，是山东公用水务集团的全资子公司。公司主要负责曲阜市主城区和南部片区、陵城镇等片区的污水处理工作，并具备中水供应的职能。公司目前拥有曲阜市第一、第三两个污水处理厂。两个厂设计污水日处理能力7万立方米，日供应中水3万立方米。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市第一污水处理厂，主要承担处理曲阜市东104以西，西外环路以东大沂河以北城区的生活及工业污水处理，服务人口10万人。项目总投资1.1亿元，采用A-B法处理工艺。2008年3月投资5200多万元，实施一级A深度处理改造及中水回用工程， 2009年6月投入试运行，出水水质优于国家一级A排放标准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曲阜市第三污水处理厂，工程总投资7431.1万元，采用“预处理+A²O+二沉+絮凝沉淀+过滤+消毒”的三级处理工艺，污水处理后达到国家一级A标准。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曲阜公用水务有限公司至运行以来，各项出水水质安全稳定，为曲阜的水污染防治工作做出了积极的贡献，对淮河流域的生态修复发挥了重要作用，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创造了良好的社会效益和环保效益。</w:t>
      </w:r>
    </w:p>
    <w:p>
      <w:p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二、主要会计数据和财务指标（截至到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2024年3月31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日）</w:t>
      </w:r>
    </w:p>
    <w:p>
      <w:pPr>
        <w:ind w:firstLine="7308" w:firstLineChars="2600"/>
        <w:rPr>
          <w:rFonts w:hint="eastAsia" w:ascii="方正楷体简体" w:hAnsi="方正楷体简体" w:eastAsia="方正楷体简体" w:cs="方正楷体简体"/>
          <w:b/>
          <w:bCs/>
          <w:sz w:val="28"/>
          <w:szCs w:val="28"/>
        </w:rPr>
      </w:pPr>
      <w:r>
        <w:rPr>
          <w:rFonts w:hint="eastAsia" w:ascii="方正楷体简体" w:hAnsi="方正楷体简体" w:eastAsia="方正楷体简体" w:cs="方正楷体简体"/>
          <w:b/>
          <w:bCs/>
          <w:sz w:val="28"/>
          <w:szCs w:val="28"/>
        </w:rPr>
        <w:t>单位： 万元</w:t>
      </w:r>
    </w:p>
    <w:tbl>
      <w:tblPr>
        <w:tblStyle w:val="5"/>
        <w:tblW w:w="0" w:type="auto"/>
        <w:tblInd w:w="2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0"/>
        <w:gridCol w:w="5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营业总收入</w:t>
            </w:r>
          </w:p>
        </w:tc>
        <w:tc>
          <w:tcPr>
            <w:tcW w:w="5100" w:type="dxa"/>
          </w:tcPr>
          <w:p>
            <w:pPr>
              <w:snapToGrid w:val="0"/>
              <w:spacing w:line="5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850.29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营业总成本</w:t>
            </w:r>
          </w:p>
        </w:tc>
        <w:tc>
          <w:tcPr>
            <w:tcW w:w="5100" w:type="dxa"/>
          </w:tcPr>
          <w:p>
            <w:pPr>
              <w:snapToGrid w:val="0"/>
              <w:spacing w:line="5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766.05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利润总额</w:t>
            </w:r>
          </w:p>
        </w:tc>
        <w:tc>
          <w:tcPr>
            <w:tcW w:w="5100" w:type="dxa"/>
          </w:tcPr>
          <w:p>
            <w:pPr>
              <w:snapToGrid w:val="0"/>
              <w:spacing w:line="5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81.37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净利润</w:t>
            </w:r>
          </w:p>
        </w:tc>
        <w:tc>
          <w:tcPr>
            <w:tcW w:w="5100" w:type="dxa"/>
          </w:tcPr>
          <w:p>
            <w:pPr>
              <w:snapToGrid w:val="0"/>
              <w:spacing w:line="5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60.97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资产总额</w:t>
            </w:r>
          </w:p>
        </w:tc>
        <w:tc>
          <w:tcPr>
            <w:tcW w:w="5100" w:type="dxa"/>
          </w:tcPr>
          <w:p>
            <w:pPr>
              <w:snapToGrid w:val="0"/>
              <w:spacing w:line="5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21354.31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负债总额</w:t>
            </w:r>
          </w:p>
        </w:tc>
        <w:tc>
          <w:tcPr>
            <w:tcW w:w="5100" w:type="dxa"/>
          </w:tcPr>
          <w:p>
            <w:pPr>
              <w:snapToGrid w:val="0"/>
              <w:spacing w:line="5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18215.02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0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所有者权益</w:t>
            </w:r>
          </w:p>
        </w:tc>
        <w:tc>
          <w:tcPr>
            <w:tcW w:w="5100" w:type="dxa"/>
          </w:tcPr>
          <w:p>
            <w:pPr>
              <w:snapToGrid w:val="0"/>
              <w:spacing w:line="58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3139.29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1.营业收入：本年预算4011.19万元，截至到2024年3月31日，完成21.20%。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2.利润总额：本年预算260.79万元，截至到2024年3月31日，完成31.20%。</w:t>
      </w:r>
      <w:bookmarkStart w:id="0" w:name="_GoBack"/>
      <w:bookmarkEnd w:id="0"/>
    </w:p>
    <w:p>
      <w:p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四、本季度内发生的重大事项及对企业的影响</w:t>
      </w:r>
    </w:p>
    <w:p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无。</w:t>
      </w: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5725B728-B6C6-4FD1-8A64-EA941D40417A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52D55E0F-2820-467F-A83F-4AC72516A08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272E268-0E33-4250-92B8-34944D043888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9C2A9DE-6A98-43A9-92C1-10B1916E96A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332EF0"/>
    <w:rsid w:val="003F77BE"/>
    <w:rsid w:val="007E3428"/>
    <w:rsid w:val="007E5379"/>
    <w:rsid w:val="009F6CBA"/>
    <w:rsid w:val="00AC6AB4"/>
    <w:rsid w:val="00BC3130"/>
    <w:rsid w:val="00C455E3"/>
    <w:rsid w:val="00C65B77"/>
    <w:rsid w:val="00D321DA"/>
    <w:rsid w:val="00EA422D"/>
    <w:rsid w:val="00FC157F"/>
    <w:rsid w:val="02E66B31"/>
    <w:rsid w:val="03056119"/>
    <w:rsid w:val="06DF3B7E"/>
    <w:rsid w:val="09EC724C"/>
    <w:rsid w:val="0A7E3AF3"/>
    <w:rsid w:val="0D6D5D2C"/>
    <w:rsid w:val="0E456E02"/>
    <w:rsid w:val="0E7B2823"/>
    <w:rsid w:val="0EFE5203"/>
    <w:rsid w:val="13CC2444"/>
    <w:rsid w:val="180477A4"/>
    <w:rsid w:val="19560A59"/>
    <w:rsid w:val="1C496371"/>
    <w:rsid w:val="22284619"/>
    <w:rsid w:val="29D47C5C"/>
    <w:rsid w:val="2A4822AF"/>
    <w:rsid w:val="2D9F5C7A"/>
    <w:rsid w:val="33A670F3"/>
    <w:rsid w:val="38547ABE"/>
    <w:rsid w:val="39495149"/>
    <w:rsid w:val="3DB1150E"/>
    <w:rsid w:val="40E1715D"/>
    <w:rsid w:val="419C0824"/>
    <w:rsid w:val="423050F8"/>
    <w:rsid w:val="441746B8"/>
    <w:rsid w:val="44244964"/>
    <w:rsid w:val="4ABF170F"/>
    <w:rsid w:val="4EA26E21"/>
    <w:rsid w:val="51130DF6"/>
    <w:rsid w:val="57404164"/>
    <w:rsid w:val="5B6A2955"/>
    <w:rsid w:val="5C83014D"/>
    <w:rsid w:val="5E145AF2"/>
    <w:rsid w:val="5F372BCB"/>
    <w:rsid w:val="5F412942"/>
    <w:rsid w:val="60785E58"/>
    <w:rsid w:val="64450C8D"/>
    <w:rsid w:val="678437B5"/>
    <w:rsid w:val="69CF4947"/>
    <w:rsid w:val="6D125276"/>
    <w:rsid w:val="70C1078D"/>
    <w:rsid w:val="73E86D31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650</Words>
  <Characters>754</Characters>
  <Lines>5</Lines>
  <Paragraphs>1</Paragraphs>
  <TotalTime>58</TotalTime>
  <ScaleCrop>false</ScaleCrop>
  <LinksUpToDate>false</LinksUpToDate>
  <CharactersWithSpaces>761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2024-04-29T08:38:34Z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EA74C1FF97974B4C9BCB2A66CAC65296</vt:lpwstr>
  </property>
</Properties>
</file>