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山东公用水务集团</w:t>
      </w:r>
      <w:r>
        <w:rPr>
          <w:rFonts w:hint="eastAsia" w:ascii="方正小标宋简体" w:hAnsi="方正小标宋简体" w:eastAsia="方正小标宋简体" w:cs="方正小标宋简体"/>
          <w:b/>
          <w:bCs/>
          <w:sz w:val="44"/>
          <w:szCs w:val="44"/>
        </w:rPr>
        <w:t xml:space="preserve">有限公司 </w:t>
      </w:r>
    </w:p>
    <w:p>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年第</w:t>
      </w:r>
      <w:r>
        <w:rPr>
          <w:rFonts w:hint="eastAsia" w:ascii="方正小标宋简体" w:hAnsi="方正小标宋简体" w:eastAsia="方正小标宋简体" w:cs="方正小标宋简体"/>
          <w:b/>
          <w:bCs/>
          <w:sz w:val="44"/>
          <w:szCs w:val="44"/>
          <w:lang w:val="en-US" w:eastAsia="zh-CN"/>
        </w:rPr>
        <w:t>一</w:t>
      </w:r>
      <w:r>
        <w:rPr>
          <w:rFonts w:hint="eastAsia" w:ascii="方正小标宋简体" w:hAnsi="方正小标宋简体" w:eastAsia="方正小标宋简体" w:cs="方正小标宋简体"/>
          <w:b/>
          <w:bCs/>
          <w:sz w:val="44"/>
          <w:szCs w:val="44"/>
        </w:rPr>
        <w:t>季度财务重大信息公开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lang w:val="en-US" w:eastAsia="zh-CN"/>
        </w:rPr>
        <w:t>.公司</w:t>
      </w:r>
      <w:r>
        <w:rPr>
          <w:rFonts w:hint="eastAsia" w:ascii="方正仿宋简体" w:hAnsi="方正仿宋简体" w:eastAsia="方正仿宋简体" w:cs="方正仿宋简体"/>
          <w:b/>
          <w:bCs/>
          <w:sz w:val="32"/>
          <w:szCs w:val="32"/>
        </w:rPr>
        <w:t>名称：</w:t>
      </w:r>
      <w:r>
        <w:rPr>
          <w:rFonts w:hint="eastAsia" w:ascii="方正仿宋简体" w:hAnsi="方正仿宋简体" w:eastAsia="方正仿宋简体" w:cs="方正仿宋简体"/>
          <w:b/>
          <w:bCs/>
          <w:sz w:val="32"/>
          <w:szCs w:val="32"/>
          <w:lang w:val="en-US" w:eastAsia="zh-CN"/>
        </w:rPr>
        <w:t>山东公用水务集团</w:t>
      </w:r>
      <w:r>
        <w:rPr>
          <w:rFonts w:hint="eastAsia" w:ascii="方正仿宋简体" w:hAnsi="方正仿宋简体" w:eastAsia="方正仿宋简体" w:cs="方正仿宋简体"/>
          <w:b/>
          <w:bCs/>
          <w:sz w:val="32"/>
          <w:szCs w:val="32"/>
        </w:rPr>
        <w:t>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王宗莉</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注册地址：山东省济宁市任城区红星中路</w:t>
      </w:r>
      <w:r>
        <w:rPr>
          <w:rFonts w:hint="default" w:ascii="Times New Roman" w:hAnsi="Times New Roman" w:eastAsia="方正仿宋简体" w:cs="Times New Roman"/>
          <w:b/>
          <w:bCs/>
          <w:sz w:val="32"/>
          <w:szCs w:val="32"/>
        </w:rPr>
        <w:t>23</w:t>
      </w:r>
      <w:r>
        <w:rPr>
          <w:rFonts w:hint="eastAsia" w:ascii="方正仿宋简体" w:hAnsi="方正仿宋简体" w:eastAsia="方正仿宋简体" w:cs="方正仿宋简体"/>
          <w:b/>
          <w:bCs/>
          <w:sz w:val="32"/>
          <w:szCs w:val="32"/>
        </w:rPr>
        <w:t>号</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公司简介:山东公用水务集团有限公司是山东公用控股旗下专注于水资源循环利用和水生态环境保护事业的旗舰企业。公司成立于</w:t>
      </w:r>
      <w:r>
        <w:rPr>
          <w:rFonts w:hint="eastAsia" w:ascii="Times New Roman" w:hAnsi="Times New Roman" w:eastAsia="方正仿宋简体" w:cs="Times New Roman"/>
          <w:b/>
          <w:bCs/>
          <w:sz w:val="32"/>
          <w:szCs w:val="32"/>
        </w:rPr>
        <w:t>2019</w:t>
      </w:r>
      <w:r>
        <w:rPr>
          <w:rFonts w:hint="eastAsia" w:ascii="方正仿宋简体" w:hAnsi="方正仿宋简体" w:eastAsia="方正仿宋简体" w:cs="方正仿宋简体"/>
          <w:b/>
          <w:bCs/>
          <w:sz w:val="32"/>
          <w:szCs w:val="32"/>
        </w:rPr>
        <w:t>年，注册资金</w:t>
      </w:r>
      <w:r>
        <w:rPr>
          <w:rFonts w:hint="eastAsia"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亿元，是集水务行业投资、建设、设计、施工、经营管理，水务技术开发、技术咨询为一体的综合水务环境服务商。</w:t>
      </w:r>
      <w:r>
        <w:rPr>
          <w:rFonts w:hint="eastAsia" w:ascii="方正仿宋简体" w:hAnsi="方正仿宋简体" w:eastAsia="方正仿宋简体" w:cs="方正仿宋简体"/>
          <w:b/>
          <w:bCs/>
          <w:sz w:val="32"/>
          <w:szCs w:val="32"/>
          <w:lang w:val="en-US" w:eastAsia="zh-CN"/>
        </w:rPr>
        <w:t>截至目前，</w:t>
      </w:r>
      <w:r>
        <w:rPr>
          <w:rFonts w:hint="eastAsia" w:ascii="Times New Roman" w:hAnsi="Times New Roman" w:eastAsia="方正仿宋简体" w:cs="Times New Roman"/>
          <w:b/>
          <w:bCs/>
          <w:sz w:val="32"/>
          <w:szCs w:val="32"/>
          <w:lang w:val="en-US" w:eastAsia="zh-CN"/>
        </w:rPr>
        <w:t>公司合计权属供水厂21座，日供水能力41万立方米，污水厂18座，日处理污水能力66万立</w:t>
      </w:r>
      <w:r>
        <w:rPr>
          <w:rFonts w:hint="eastAsia" w:ascii="方正仿宋简体" w:hAnsi="方正仿宋简体" w:eastAsia="方正仿宋简体" w:cs="方正仿宋简体"/>
          <w:b/>
          <w:bCs/>
          <w:sz w:val="32"/>
          <w:szCs w:val="32"/>
          <w:lang w:eastAsia="zh-CN"/>
        </w:rPr>
        <w:t>方米，</w:t>
      </w:r>
      <w:r>
        <w:rPr>
          <w:rFonts w:hint="eastAsia" w:ascii="方正仿宋简体" w:hAnsi="方正仿宋简体" w:eastAsia="方正仿宋简体" w:cs="方正仿宋简体"/>
          <w:b/>
          <w:bCs/>
          <w:sz w:val="32"/>
          <w:szCs w:val="32"/>
          <w:lang w:val="en-US" w:eastAsia="zh-CN"/>
        </w:rPr>
        <w:t>通过提标改造，出水水质指标均达到准Ⅳ类标准，</w:t>
      </w:r>
      <w:r>
        <w:rPr>
          <w:rFonts w:hint="eastAsia" w:ascii="方正仿宋简体" w:hAnsi="方正仿宋简体" w:eastAsia="方正仿宋简体" w:cs="方正仿宋简体"/>
          <w:b/>
          <w:bCs/>
          <w:sz w:val="32"/>
          <w:szCs w:val="32"/>
          <w:lang w:eastAsia="zh-CN"/>
        </w:rPr>
        <w:t>服务人口</w:t>
      </w:r>
      <w:r>
        <w:rPr>
          <w:rFonts w:hint="eastAsia" w:ascii="方正仿宋简体" w:hAnsi="方正仿宋简体" w:eastAsia="方正仿宋简体" w:cs="方正仿宋简体"/>
          <w:b/>
          <w:bCs/>
          <w:sz w:val="32"/>
          <w:szCs w:val="32"/>
          <w:lang w:val="en-US" w:eastAsia="zh-CN"/>
        </w:rPr>
        <w:t>约</w:t>
      </w:r>
      <w:r>
        <w:rPr>
          <w:rFonts w:hint="eastAsia" w:ascii="Times New Roman" w:hAnsi="Times New Roman" w:eastAsia="方正仿宋简体" w:cs="Times New Roman"/>
          <w:b/>
          <w:bCs/>
          <w:sz w:val="32"/>
          <w:szCs w:val="32"/>
          <w:lang w:val="en-US" w:eastAsia="zh-CN"/>
        </w:rPr>
        <w:t>400万</w:t>
      </w:r>
      <w:r>
        <w:rPr>
          <w:rFonts w:hint="eastAsia" w:ascii="方正仿宋简体" w:hAnsi="方正仿宋简体" w:eastAsia="方正仿宋简体" w:cs="方正仿宋简体"/>
          <w:b/>
          <w:bCs/>
          <w:sz w:val="32"/>
          <w:szCs w:val="32"/>
          <w:lang w:val="en-US" w:eastAsia="zh-CN"/>
        </w:rPr>
        <w:t>人</w:t>
      </w:r>
      <w:r>
        <w:rPr>
          <w:rFonts w:hint="eastAsia" w:ascii="方正仿宋简体" w:hAnsi="方正仿宋简体" w:eastAsia="方正仿宋简体" w:cs="方正仿宋简体"/>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2023年，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r>
        <w:rPr>
          <w:rFonts w:hint="eastAsia" w:ascii="方正仿宋简体" w:hAnsi="方正仿宋简体" w:eastAsia="方正仿宋简体" w:cs="方正仿宋简体"/>
          <w:b/>
          <w:bCs/>
          <w:sz w:val="32"/>
          <w:szCs w:val="32"/>
          <w:lang w:val="en-US" w:eastAsia="zh-CN"/>
        </w:rPr>
        <w:t>。</w:t>
      </w:r>
    </w:p>
    <w:p>
      <w:pPr>
        <w:snapToGrid w:val="0"/>
        <w:spacing w:line="580" w:lineRule="exact"/>
        <w:ind w:firstLine="643" w:firstLineChars="200"/>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32"/>
          <w:szCs w:val="32"/>
        </w:rPr>
        <w:t>（截至到</w:t>
      </w:r>
      <w:r>
        <w:rPr>
          <w:rFonts w:hint="eastAsia" w:ascii="方正黑体简体" w:hAnsi="方正黑体简体" w:eastAsia="方正黑体简体" w:cs="方正黑体简体"/>
          <w:b/>
          <w:bCs/>
          <w:sz w:val="32"/>
          <w:szCs w:val="32"/>
          <w:lang w:val="en-US" w:eastAsia="zh-CN"/>
        </w:rPr>
        <w:t>2024年3月31日</w:t>
      </w:r>
      <w:r>
        <w:rPr>
          <w:rFonts w:hint="eastAsia" w:ascii="方正黑体简体" w:hAnsi="方正黑体简体" w:eastAsia="方正黑体简体" w:cs="方正黑体简体"/>
          <w:sz w:val="32"/>
          <w:szCs w:val="32"/>
        </w:rPr>
        <w:t>）</w:t>
      </w:r>
    </w:p>
    <w:p>
      <w:pPr>
        <w:ind w:firstLine="7308" w:firstLineChars="2600"/>
        <w:rPr>
          <w:rFonts w:hint="eastAsia" w:ascii="方正楷体简体" w:hAnsi="方正楷体简体" w:eastAsia="方正楷体简体" w:cs="方正楷体简体"/>
          <w:b/>
          <w:bCs/>
          <w:sz w:val="28"/>
          <w:szCs w:val="28"/>
        </w:rPr>
      </w:pPr>
      <w:r>
        <w:rPr>
          <w:rFonts w:hint="eastAsia" w:ascii="方正楷体简体" w:hAnsi="方正楷体简体" w:eastAsia="方正楷体简体" w:cs="方正楷体简体"/>
          <w:b/>
          <w:bCs/>
          <w:sz w:val="28"/>
          <w:szCs w:val="28"/>
        </w:rPr>
        <w:t>单位： 万元</w:t>
      </w:r>
    </w:p>
    <w:tbl>
      <w:tblPr>
        <w:tblStyle w:val="5"/>
        <w:tblW w:w="0" w:type="auto"/>
        <w:tblInd w:w="2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10"/>
        <w:gridCol w:w="4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营业总收入</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20,787.00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营业总成本</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18,425.00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利润总额</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2,497.00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净利润</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1,820.00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资产总额</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524,038.00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负债总额</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r>
              <w:rPr>
                <w:rFonts w:hint="eastAsia" w:ascii="Times New Roman" w:hAnsi="Times New Roman" w:eastAsia="方正仿宋简体" w:cs="Times New Roman"/>
                <w:b/>
                <w:bCs/>
                <w:sz w:val="28"/>
                <w:szCs w:val="28"/>
                <w:lang w:val="en-US" w:eastAsia="zh-CN"/>
              </w:rPr>
              <w:t>388,154.00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所有者权益</w:t>
            </w:r>
          </w:p>
        </w:tc>
        <w:tc>
          <w:tcPr>
            <w:tcW w:w="4905" w:type="dxa"/>
            <w:vAlign w:val="top"/>
          </w:tcPr>
          <w:p>
            <w:pPr>
              <w:snapToGrid w:val="0"/>
              <w:spacing w:line="580" w:lineRule="exact"/>
              <w:ind w:firstLine="562" w:firstLineChars="200"/>
              <w:jc w:val="center"/>
              <w:rPr>
                <w:rFonts w:hint="eastAsia" w:ascii="Times New Roman" w:hAnsi="Times New Roman" w:eastAsia="方正仿宋简体" w:cs="Times New Roman"/>
                <w:b/>
                <w:bCs/>
                <w:sz w:val="28"/>
                <w:szCs w:val="28"/>
                <w:lang w:val="en-US" w:eastAsia="zh-CN"/>
              </w:rPr>
            </w:pPr>
            <w:bookmarkStart w:id="0" w:name="_GoBack"/>
            <w:bookmarkEnd w:id="0"/>
            <w:r>
              <w:rPr>
                <w:rFonts w:hint="eastAsia" w:ascii="Times New Roman" w:hAnsi="Times New Roman" w:eastAsia="方正仿宋简体" w:cs="Times New Roman"/>
                <w:b/>
                <w:bCs/>
                <w:sz w:val="28"/>
                <w:szCs w:val="28"/>
                <w:lang w:val="en-US" w:eastAsia="zh-CN"/>
              </w:rPr>
              <w:t>135,884.00</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营业收入：本年预算</w:t>
      </w:r>
      <w:r>
        <w:rPr>
          <w:rFonts w:hint="eastAsia" w:ascii="Times New Roman" w:hAnsi="Times New Roman" w:eastAsia="方正仿宋简体" w:cs="Times New Roman"/>
          <w:b/>
          <w:bCs/>
          <w:sz w:val="32"/>
          <w:szCs w:val="32"/>
          <w:lang w:val="en-US" w:eastAsia="zh-CN"/>
        </w:rPr>
        <w:t>82,688.03</w:t>
      </w:r>
      <w:r>
        <w:rPr>
          <w:rFonts w:hint="eastAsia" w:ascii="方正仿宋简体" w:hAnsi="方正仿宋简体" w:eastAsia="方正仿宋简体" w:cs="方正仿宋简体"/>
          <w:b/>
          <w:bCs/>
          <w:sz w:val="32"/>
          <w:szCs w:val="32"/>
        </w:rPr>
        <w:t>万元，截至到</w:t>
      </w:r>
      <w:r>
        <w:rPr>
          <w:rFonts w:hint="eastAsia" w:ascii="Times New Roman" w:hAnsi="Times New Roman" w:eastAsia="方正仿宋简体" w:cs="Times New Roman"/>
          <w:b/>
          <w:bCs/>
          <w:sz w:val="32"/>
          <w:szCs w:val="32"/>
          <w:lang w:val="en-US" w:eastAsia="zh-CN"/>
        </w:rPr>
        <w:t>2024年3月31日</w:t>
      </w:r>
      <w:r>
        <w:rPr>
          <w:rFonts w:hint="eastAsia" w:ascii="方正仿宋简体" w:hAnsi="方正仿宋简体" w:eastAsia="方正仿宋简体" w:cs="方正仿宋简体"/>
          <w:b/>
          <w:bCs/>
          <w:sz w:val="32"/>
          <w:szCs w:val="32"/>
        </w:rPr>
        <w:t>，完成</w:t>
      </w:r>
      <w:r>
        <w:rPr>
          <w:rFonts w:hint="eastAsia" w:ascii="Times New Roman" w:hAnsi="Times New Roman" w:eastAsia="方正仿宋简体" w:cs="Times New Roman"/>
          <w:b/>
          <w:bCs/>
          <w:sz w:val="32"/>
          <w:szCs w:val="32"/>
          <w:lang w:val="en-US" w:eastAsia="zh-CN"/>
        </w:rPr>
        <w:t>25.14%</w:t>
      </w:r>
      <w:r>
        <w:rPr>
          <w:rFonts w:hint="eastAsia" w:ascii="方正仿宋简体" w:hAnsi="方正仿宋简体" w:eastAsia="方正仿宋简体" w:cs="方正仿宋简体"/>
          <w:b/>
          <w:bCs/>
          <w:sz w:val="32"/>
          <w:szCs w:val="32"/>
        </w:rPr>
        <w:t>。</w:t>
      </w:r>
    </w:p>
    <w:p>
      <w:pPr>
        <w:snapToGrid w:val="0"/>
        <w:spacing w:line="580" w:lineRule="exact"/>
        <w:ind w:firstLine="643" w:firstLineChars="200"/>
        <w:rPr>
          <w:rFonts w:hint="default" w:ascii="Times New Roman" w:hAnsi="Times New Roman" w:eastAsia="方正仿宋简体" w:cs="Times New Roman"/>
          <w:b/>
          <w:bCs/>
          <w:sz w:val="32"/>
          <w:szCs w:val="32"/>
          <w:highlight w:val="none"/>
        </w:rPr>
      </w:pPr>
      <w:r>
        <w:rPr>
          <w:rFonts w:hint="default" w:ascii="Times New Roman" w:hAnsi="Times New Roman" w:eastAsia="方正仿宋简体" w:cs="Times New Roman"/>
          <w:b/>
          <w:bCs/>
          <w:sz w:val="32"/>
          <w:szCs w:val="32"/>
          <w:highlight w:val="none"/>
          <w:lang w:val="en-US" w:eastAsia="zh-CN"/>
        </w:rPr>
        <w:t>2.</w:t>
      </w:r>
      <w:r>
        <w:rPr>
          <w:rFonts w:hint="default" w:ascii="Times New Roman" w:hAnsi="Times New Roman" w:eastAsia="方正仿宋简体" w:cs="Times New Roman"/>
          <w:b/>
          <w:bCs/>
          <w:sz w:val="32"/>
          <w:szCs w:val="32"/>
          <w:highlight w:val="none"/>
        </w:rPr>
        <w:t>利润总额：本年预算9074.99万元，截至到2024年3月31日，完成27.52%。</w:t>
      </w:r>
    </w:p>
    <w:p>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2024</w:t>
      </w:r>
      <w:r>
        <w:rPr>
          <w:rFonts w:hint="eastAsia" w:ascii="方正仿宋简体" w:hAnsi="方正仿宋简体" w:eastAsia="方正仿宋简体" w:cs="方正仿宋简体"/>
          <w:b/>
          <w:bCs/>
          <w:sz w:val="32"/>
          <w:szCs w:val="32"/>
          <w:lang w:val="en-US" w:eastAsia="zh-CN"/>
        </w:rPr>
        <w:t>年第一季度，济宁新材料园区脱盐项目取得阶段性成果，项目公司</w:t>
      </w:r>
      <w:r>
        <w:rPr>
          <w:rFonts w:hint="eastAsia" w:ascii="Times New Roman" w:hAnsi="Times New Roman" w:eastAsia="方正仿宋简体" w:cs="Times New Roman"/>
          <w:b/>
          <w:bCs/>
          <w:sz w:val="32"/>
          <w:szCs w:val="32"/>
          <w:lang w:val="en-US" w:eastAsia="zh-CN"/>
        </w:rPr>
        <w:t>49%</w:t>
      </w:r>
      <w:r>
        <w:rPr>
          <w:rFonts w:hint="eastAsia" w:ascii="方正仿宋简体" w:hAnsi="方正仿宋简体" w:eastAsia="方正仿宋简体" w:cs="方正仿宋简体"/>
          <w:b/>
          <w:bCs/>
          <w:sz w:val="32"/>
          <w:szCs w:val="32"/>
          <w:lang w:val="en-US" w:eastAsia="zh-CN"/>
        </w:rPr>
        <w:t>股权以顺利公开挂网。正在等待招标结果，待确定战略合作者后，水务集团将继续推动该项目实施。</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C301E0D"/>
    <w:rsid w:val="0D6D5D2C"/>
    <w:rsid w:val="13CC2444"/>
    <w:rsid w:val="141C4B30"/>
    <w:rsid w:val="180477A4"/>
    <w:rsid w:val="18F16C5C"/>
    <w:rsid w:val="19560A59"/>
    <w:rsid w:val="1C496371"/>
    <w:rsid w:val="1C5B3DCF"/>
    <w:rsid w:val="1DB14616"/>
    <w:rsid w:val="29D47C5C"/>
    <w:rsid w:val="2A4822AF"/>
    <w:rsid w:val="2CB31F06"/>
    <w:rsid w:val="2D9F5C7A"/>
    <w:rsid w:val="33A670F3"/>
    <w:rsid w:val="35B17F6D"/>
    <w:rsid w:val="40E1715D"/>
    <w:rsid w:val="419C0824"/>
    <w:rsid w:val="44244964"/>
    <w:rsid w:val="57404164"/>
    <w:rsid w:val="5C83014D"/>
    <w:rsid w:val="5E145AF2"/>
    <w:rsid w:val="5F372BCB"/>
    <w:rsid w:val="5F412942"/>
    <w:rsid w:val="60785E58"/>
    <w:rsid w:val="678437B5"/>
    <w:rsid w:val="70C1078D"/>
    <w:rsid w:val="71B017C7"/>
    <w:rsid w:val="7451111C"/>
    <w:rsid w:val="75D26FF0"/>
    <w:rsid w:val="775A30EF"/>
    <w:rsid w:val="7D952807"/>
    <w:rsid w:val="7F8C0E9B"/>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650</Words>
  <Characters>754</Characters>
  <Lines>5</Lines>
  <Paragraphs>1</Paragraphs>
  <TotalTime>5</TotalTime>
  <ScaleCrop>false</ScaleCrop>
  <LinksUpToDate>false</LinksUpToDate>
  <CharactersWithSpaces>761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2024-04-29T09:39:52Z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2DEAA57F17E44F54B3B88DDE4BFD1D35_13</vt:lpwstr>
  </property>
</Properties>
</file>