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汶上公用水务</w:t>
      </w:r>
      <w:r>
        <w:rPr>
          <w:rFonts w:hint="eastAsia" w:ascii="方正小标宋简体" w:hAnsi="方正小标宋简体" w:eastAsia="方正小标宋简体" w:cs="方正小标宋简体"/>
          <w:b/>
          <w:bCs/>
          <w:sz w:val="44"/>
          <w:szCs w:val="44"/>
        </w:rPr>
        <w:t xml:space="preserve">有限公司 </w:t>
      </w:r>
    </w:p>
    <w:p>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年第</w:t>
      </w:r>
      <w:r>
        <w:rPr>
          <w:rFonts w:hint="eastAsia" w:ascii="方正小标宋简体" w:hAnsi="方正小标宋简体" w:eastAsia="方正小标宋简体" w:cs="方正小标宋简体"/>
          <w:b/>
          <w:bCs/>
          <w:sz w:val="44"/>
          <w:szCs w:val="44"/>
          <w:lang w:val="en-US" w:eastAsia="zh-CN"/>
        </w:rPr>
        <w:t>一</w:t>
      </w:r>
      <w:r>
        <w:rPr>
          <w:rFonts w:hint="eastAsia" w:ascii="方正小标宋简体" w:hAnsi="方正小标宋简体" w:eastAsia="方正小标宋简体" w:cs="方正小标宋简体"/>
          <w:b/>
          <w:bCs/>
          <w:sz w:val="44"/>
          <w:szCs w:val="44"/>
        </w:rPr>
        <w:t>季度财务重大信息公开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t>1.公司名称：</w:t>
      </w: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汶上公用水务</w:t>
      </w:r>
      <w:r>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t>有限公司</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t>2.法定代表人：</w:t>
      </w: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王晓静</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t>3.注册地址：</w:t>
      </w: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山东省济宁市汶上县普陀山路207号</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t>4.经营范围：</w:t>
      </w: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许可项目:自来水生产与供应;污水处理及其再生利用;城市生活垃圾经营性服务;各类工程建设活动:食品经营;食品生产;餐饮服务:食品互联网销售。(依法须经批准的项目,经相关部门批准后方可开展经营活动,具体经营项目以相关部门批准文件或许可证件为准)一般项目:水污染治理;水环境污染防治服务;市政设施管理;土石方工程施工;建筑材料销售;物联网应用服务;农副产品销售:互联网销售(除销售需要许可的商品);供应用仪器仪表销售。(除依法须经批准的项目外,凭营业执照依法自主开展经营活动)</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14:textFill>
            <w14:solidFill>
              <w14:schemeClr w14:val="tx1"/>
            </w14:solidFill>
          </w14:textFill>
        </w:rPr>
        <w:t xml:space="preserve">5.公司简介: </w:t>
      </w: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汶上公用水务有限公司（以下简称“公司”）成立于2014年7月，由汶上县清源公用水务有限公司、汶上县佛都污水处理有限公司、汶上县清泉水务有限公司合并成立，注册资金2080.24万元，为山东公用水务集团全资子公司。经营范围涵盖自来水供应、二级供水处理、管道维修及校表、城市供水工程、排水工程、污水处理工程等方面。</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公司下辖17个部门、分公司，现有正式职工200余人。城市供水能力5.2万m3/d，服务人口约26万人；污水处理能力12万m3/d，外排水全部执行国家规定标准；农村供水能力5.6万m3/d，覆盖县域全部镇村。山东公用水污染治理有限公司汶上分公司目前共运营镇级污水处理厂9座，污水处理能力约1.1万m3/d。</w:t>
      </w:r>
    </w:p>
    <w:p>
      <w:pPr>
        <w:spacing w:line="600" w:lineRule="exact"/>
        <w:ind w:firstLine="639" w:firstLineChars="199"/>
        <w:rPr>
          <w:rFonts w:hint="default"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汶上公用水务有限公司在集团公司和上级有关部门的正确领导和关怀下，紧紧围绕“保障城市供水、治理环境污染、用心服务民生”“三个一工作机制”工作，用心服务好每一位用户，勇担“让城乡生活、生产、生态更美好”的使命，坚持科学规范管理，高效创新发展；高度重视人才培养，唯才是举，择才善用；把情系万家、用心服务，公司将继续坚守“以人为本、服务民生”的经营理念，以党建引领为抓手，充分发挥国企担当，努力打造“民生水务、智慧水务、创新水务、高效水务、文化水务”。</w:t>
      </w:r>
    </w:p>
    <w:p>
      <w:pPr>
        <w:snapToGrid w:val="0"/>
        <w:spacing w:line="58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r>
        <w:rPr>
          <w:rFonts w:hint="eastAsia" w:ascii="方正黑体简体" w:hAnsi="方正黑体简体" w:eastAsia="方正黑体简体" w:cs="方正黑体简体"/>
          <w:sz w:val="32"/>
          <w:szCs w:val="32"/>
        </w:rPr>
        <w:t>（</w:t>
      </w:r>
      <w:r>
        <w:rPr>
          <w:rFonts w:hint="eastAsia" w:ascii="方正黑体简体" w:hAnsi="方正黑体简体" w:eastAsia="方正黑体简体" w:cs="方正黑体简体"/>
          <w:b/>
          <w:bCs/>
          <w:color w:val="000000" w:themeColor="text1"/>
          <w:sz w:val="32"/>
          <w:szCs w:val="32"/>
          <w:shd w:val="clear" w:color="auto" w:fill="auto"/>
          <w14:textFill>
            <w14:solidFill>
              <w14:schemeClr w14:val="tx1"/>
            </w14:solidFill>
          </w14:textFill>
        </w:rPr>
        <w:t>截至到202</w:t>
      </w:r>
      <w:r>
        <w:rPr>
          <w:rFonts w:hint="eastAsia" w:ascii="方正黑体简体" w:hAnsi="方正黑体简体" w:eastAsia="方正黑体简体" w:cs="方正黑体简体"/>
          <w:b/>
          <w:bCs/>
          <w:color w:val="000000" w:themeColor="text1"/>
          <w:sz w:val="32"/>
          <w:szCs w:val="32"/>
          <w:shd w:val="clear" w:color="auto" w:fill="auto"/>
          <w:lang w:val="en-US" w:eastAsia="zh-CN"/>
          <w14:textFill>
            <w14:solidFill>
              <w14:schemeClr w14:val="tx1"/>
            </w14:solidFill>
          </w14:textFill>
        </w:rPr>
        <w:t>4</w:t>
      </w:r>
      <w:r>
        <w:rPr>
          <w:rFonts w:hint="eastAsia" w:ascii="方正黑体简体" w:hAnsi="方正黑体简体" w:eastAsia="方正黑体简体" w:cs="方正黑体简体"/>
          <w:b/>
          <w:bCs/>
          <w:color w:val="000000" w:themeColor="text1"/>
          <w:sz w:val="32"/>
          <w:szCs w:val="32"/>
          <w:shd w:val="clear" w:color="auto" w:fill="auto"/>
          <w14:textFill>
            <w14:solidFill>
              <w14:schemeClr w14:val="tx1"/>
            </w14:solidFill>
          </w14:textFill>
        </w:rPr>
        <w:t>年</w:t>
      </w:r>
      <w:r>
        <w:rPr>
          <w:rFonts w:hint="eastAsia" w:ascii="方正黑体简体" w:hAnsi="方正黑体简体" w:eastAsia="方正黑体简体" w:cs="方正黑体简体"/>
          <w:b/>
          <w:bCs/>
          <w:color w:val="000000" w:themeColor="text1"/>
          <w:sz w:val="32"/>
          <w:szCs w:val="32"/>
          <w:shd w:val="clear" w:color="auto" w:fill="auto"/>
          <w:lang w:val="en-US" w:eastAsia="zh-CN"/>
          <w14:textFill>
            <w14:solidFill>
              <w14:schemeClr w14:val="tx1"/>
            </w14:solidFill>
          </w14:textFill>
        </w:rPr>
        <w:t>3</w:t>
      </w:r>
      <w:r>
        <w:rPr>
          <w:rFonts w:hint="eastAsia" w:ascii="方正黑体简体" w:hAnsi="方正黑体简体" w:eastAsia="方正黑体简体" w:cs="方正黑体简体"/>
          <w:b/>
          <w:bCs/>
          <w:color w:val="000000" w:themeColor="text1"/>
          <w:sz w:val="32"/>
          <w:szCs w:val="32"/>
          <w:shd w:val="clear" w:color="auto" w:fill="auto"/>
          <w14:textFill>
            <w14:solidFill>
              <w14:schemeClr w14:val="tx1"/>
            </w14:solidFill>
          </w14:textFill>
        </w:rPr>
        <w:t>月</w:t>
      </w:r>
      <w:r>
        <w:rPr>
          <w:rFonts w:hint="eastAsia" w:ascii="方正黑体简体" w:hAnsi="方正黑体简体" w:eastAsia="方正黑体简体" w:cs="方正黑体简体"/>
          <w:b/>
          <w:bCs/>
          <w:color w:val="000000" w:themeColor="text1"/>
          <w:sz w:val="32"/>
          <w:szCs w:val="32"/>
          <w:shd w:val="clear" w:color="auto" w:fill="auto"/>
          <w:lang w:val="en-US" w:eastAsia="zh-CN"/>
          <w14:textFill>
            <w14:solidFill>
              <w14:schemeClr w14:val="tx1"/>
            </w14:solidFill>
          </w14:textFill>
        </w:rPr>
        <w:t>31</w:t>
      </w:r>
      <w:r>
        <w:rPr>
          <w:rFonts w:hint="eastAsia" w:ascii="方正黑体简体" w:hAnsi="方正黑体简体" w:eastAsia="方正黑体简体" w:cs="方正黑体简体"/>
          <w:b/>
          <w:bCs/>
          <w:color w:val="000000" w:themeColor="text1"/>
          <w:sz w:val="32"/>
          <w:szCs w:val="32"/>
          <w:shd w:val="clear" w:color="auto" w:fill="auto"/>
          <w14:textFill>
            <w14:solidFill>
              <w14:schemeClr w14:val="tx1"/>
            </w14:solidFill>
          </w14:textFill>
        </w:rPr>
        <w:t>日</w:t>
      </w:r>
      <w:r>
        <w:rPr>
          <w:rFonts w:hint="eastAsia" w:ascii="方正黑体简体" w:hAnsi="方正黑体简体" w:eastAsia="方正黑体简体" w:cs="方正黑体简体"/>
          <w:sz w:val="32"/>
          <w:szCs w:val="32"/>
        </w:rPr>
        <w:t>）</w:t>
      </w:r>
    </w:p>
    <w:p>
      <w:pPr>
        <w:ind w:firstLine="7027" w:firstLineChars="2500"/>
        <w:rPr>
          <w:rFonts w:hint="eastAsia" w:ascii="方正楷体简体" w:hAnsi="方正楷体简体" w:eastAsia="方正楷体简体" w:cs="方正楷体简体"/>
          <w:b/>
          <w:bCs/>
          <w:sz w:val="28"/>
          <w:szCs w:val="28"/>
        </w:rPr>
      </w:pPr>
      <w:r>
        <w:rPr>
          <w:rFonts w:hint="eastAsia" w:ascii="方正楷体简体" w:hAnsi="方正楷体简体" w:eastAsia="方正楷体简体" w:cs="方正楷体简体"/>
          <w:b/>
          <w:bCs/>
          <w:sz w:val="28"/>
          <w:szCs w:val="28"/>
        </w:rPr>
        <w:t>单位： 万元</w:t>
      </w:r>
    </w:p>
    <w:tbl>
      <w:tblPr>
        <w:tblStyle w:val="5"/>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0"/>
        <w:gridCol w:w="4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营业总收入</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3128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营业总成本</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2445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利润总额</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净利润</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资产总额</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43007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负债总额</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29606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所有者权益</w:t>
            </w:r>
          </w:p>
        </w:tc>
        <w:tc>
          <w:tcPr>
            <w:tcW w:w="4785" w:type="dxa"/>
          </w:tcPr>
          <w:p>
            <w:pPr>
              <w:snapToGrid w:val="0"/>
              <w:spacing w:line="580" w:lineRule="exact"/>
              <w:ind w:firstLine="562" w:firstLineChars="200"/>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13401</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1.营业收入：本年预算12340万元，截至到2024年3月31日，完成25.35%。</w:t>
      </w:r>
      <w:bookmarkStart w:id="0" w:name="_GoBack"/>
      <w:bookmarkEnd w:id="0"/>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2.利润总额：本年预算1850万元，截至到2024年3月31日，完成39.89%。</w:t>
      </w:r>
    </w:p>
    <w:p>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四、本季度内发生的重大事项及对企业的影响</w:t>
      </w:r>
    </w:p>
    <w:p>
      <w:pPr>
        <w:snapToGrid w:val="0"/>
        <w:spacing w:line="580" w:lineRule="exact"/>
        <w:ind w:firstLine="643" w:firstLineChars="200"/>
        <w:rPr>
          <w:rFonts w:hint="default"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无。</w:t>
      </w: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9E16A7"/>
    <w:rsid w:val="09EC724C"/>
    <w:rsid w:val="0D6D5D2C"/>
    <w:rsid w:val="13CC2444"/>
    <w:rsid w:val="180477A4"/>
    <w:rsid w:val="19560A59"/>
    <w:rsid w:val="1C496371"/>
    <w:rsid w:val="20BB417C"/>
    <w:rsid w:val="29D47C5C"/>
    <w:rsid w:val="2A4822AF"/>
    <w:rsid w:val="2A8D67A4"/>
    <w:rsid w:val="2D9F5C7A"/>
    <w:rsid w:val="33A670F3"/>
    <w:rsid w:val="38D71C1E"/>
    <w:rsid w:val="40E1715D"/>
    <w:rsid w:val="419C0824"/>
    <w:rsid w:val="44244964"/>
    <w:rsid w:val="57404164"/>
    <w:rsid w:val="5C83014D"/>
    <w:rsid w:val="5E145AF2"/>
    <w:rsid w:val="5F372BCB"/>
    <w:rsid w:val="5F412942"/>
    <w:rsid w:val="60785E58"/>
    <w:rsid w:val="678437B5"/>
    <w:rsid w:val="70C1078D"/>
    <w:rsid w:val="7451111C"/>
    <w:rsid w:val="75D26FF0"/>
    <w:rsid w:val="775A30EF"/>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650</Words>
  <Characters>754</Characters>
  <Lines>5</Lines>
  <Paragraphs>1</Paragraphs>
  <TotalTime>66</TotalTime>
  <ScaleCrop>false</ScaleCrop>
  <LinksUpToDate>false</LinksUpToDate>
  <CharactersWithSpaces>761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2024-04-29T08:40:34Z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EA74C1FF97974B4C9BCB2A66CAC65296</vt:lpwstr>
  </property>
</Properties>
</file>