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color w:val="auto"/>
          <w:kern w:val="0"/>
          <w:sz w:val="44"/>
          <w:szCs w:val="44"/>
          <w:lang w:val="en-US" w:eastAsia="zh-CN" w:bidi="ar"/>
        </w:rPr>
      </w:pPr>
      <w:r>
        <w:rPr>
          <w:rFonts w:hint="default" w:ascii="Times New Roman" w:hAnsi="Times New Roman" w:eastAsia="方正小标宋简体" w:cs="Times New Roman"/>
          <w:b/>
          <w:bCs/>
          <w:color w:val="auto"/>
          <w:kern w:val="0"/>
          <w:sz w:val="44"/>
          <w:szCs w:val="44"/>
          <w:lang w:val="en-US" w:eastAsia="zh-CN" w:bidi="ar"/>
        </w:rPr>
        <w:t>山东公用环保集团检测运营有限公司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color w:val="auto"/>
          <w:kern w:val="0"/>
          <w:sz w:val="44"/>
          <w:szCs w:val="44"/>
          <w:lang w:val="en-US" w:eastAsia="zh-CN" w:bidi="ar"/>
        </w:rPr>
      </w:pPr>
      <w:r>
        <w:rPr>
          <w:rFonts w:hint="default" w:ascii="Times New Roman" w:hAnsi="Times New Roman" w:eastAsia="方正小标宋简体" w:cs="Times New Roman"/>
          <w:b/>
          <w:bCs/>
          <w:color w:val="auto"/>
          <w:kern w:val="0"/>
          <w:sz w:val="44"/>
          <w:szCs w:val="44"/>
          <w:lang w:val="en-US" w:eastAsia="zh-CN" w:bidi="ar"/>
        </w:rPr>
        <w:t>2023年中期</w:t>
      </w:r>
      <w:r>
        <w:rPr>
          <w:rFonts w:hint="eastAsia" w:ascii="Times New Roman" w:hAnsi="Times New Roman" w:eastAsia="方正小标宋简体" w:cs="Times New Roman"/>
          <w:b/>
          <w:bCs/>
          <w:color w:val="auto"/>
          <w:kern w:val="0"/>
          <w:sz w:val="44"/>
          <w:szCs w:val="44"/>
          <w:lang w:val="en-US" w:eastAsia="zh-CN" w:bidi="ar"/>
        </w:rPr>
        <w:t>财务等重大</w:t>
      </w:r>
      <w:r>
        <w:rPr>
          <w:rFonts w:hint="default" w:ascii="Times New Roman" w:hAnsi="Times New Roman" w:eastAsia="方正小标宋简体" w:cs="Times New Roman"/>
          <w:b/>
          <w:bCs/>
          <w:color w:val="auto"/>
          <w:kern w:val="0"/>
          <w:sz w:val="44"/>
          <w:szCs w:val="44"/>
          <w:lang w:val="en-US" w:eastAsia="zh-CN" w:bidi="ar"/>
        </w:rPr>
        <w:t>信息公开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方正黑体简体" w:hAnsi="方正黑体简体" w:eastAsia="方正黑体简体" w:cs="方正黑体简体"/>
          <w:b/>
          <w:bCs/>
          <w:color w:val="auto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jc w:val="left"/>
        <w:textAlignment w:val="auto"/>
        <w:rPr>
          <w:rFonts w:hint="eastAsia" w:ascii="方正黑体简体" w:hAnsi="方正黑体简体" w:eastAsia="方正黑体简体" w:cs="方正黑体简体"/>
          <w:b/>
          <w:bCs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方正黑体简体" w:hAnsi="方正黑体简体" w:eastAsia="方正黑体简体" w:cs="方正黑体简体"/>
          <w:b/>
          <w:bCs/>
          <w:color w:val="auto"/>
          <w:kern w:val="0"/>
          <w:sz w:val="32"/>
          <w:szCs w:val="32"/>
          <w:lang w:val="en-US" w:eastAsia="zh-CN" w:bidi="ar"/>
        </w:rPr>
        <w:t>一、企业基本情况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jc w:val="left"/>
        <w:textAlignment w:val="auto"/>
        <w:rPr>
          <w:rFonts w:hint="default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山东公用环保集团检测运营有限公司成立于2020年7月，地址位于山东省济宁北湖省级旅游度假区荷花路京投总部大厦A座14楼，注册资本金2000万元。公司主营业务为污染源在线自动监测系统的销售及运维、空气质量自动监测站建设机运维、水质自动监测站的建设及运维、环保污染治理设施解决方案及技术服务、智慧环保综合解决方案。公司拥有中环协（北京）认证中心颁发的（水、气）一级运营资质，通过了ISO9001质量管理体系认证、ISO14001环境管理体系认证、ISO18000职业健康安全管理体系认证，先后被评为信用等级AAA、“守合同重信用企业”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jc w:val="left"/>
        <w:textAlignment w:val="auto"/>
        <w:rPr>
          <w:rFonts w:hint="eastAsia" w:ascii="方正黑体简体" w:hAnsi="方正黑体简体" w:eastAsia="方正黑体简体" w:cs="方正黑体简体"/>
          <w:b/>
          <w:bCs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方正黑体简体" w:hAnsi="方正黑体简体" w:eastAsia="方正黑体简体" w:cs="方正黑体简体"/>
          <w:b/>
          <w:bCs/>
          <w:color w:val="auto"/>
          <w:kern w:val="0"/>
          <w:sz w:val="32"/>
          <w:szCs w:val="32"/>
          <w:lang w:val="en-US" w:eastAsia="zh-CN" w:bidi="ar"/>
        </w:rPr>
        <w:t>二、2023年上半年主要财务数据</w:t>
      </w:r>
    </w:p>
    <w:tbl>
      <w:tblPr>
        <w:tblStyle w:val="6"/>
        <w:tblW w:w="4943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28"/>
        <w:gridCol w:w="2966"/>
        <w:gridCol w:w="316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6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7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/>
              </w:rPr>
              <w:t xml:space="preserve">       </w:t>
            </w:r>
            <w:r>
              <w:rPr>
                <w:rFonts w:hint="eastAsia" w:ascii="方正楷体简体" w:hAnsi="方正楷体简体" w:eastAsia="方正楷体简体" w:cs="方正楷体简体"/>
                <w:b/>
                <w:bCs/>
                <w:color w:val="auto"/>
                <w:kern w:val="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方正楷体简体" w:hAnsi="方正楷体简体" w:eastAsia="方正楷体简体" w:cs="方正楷体简体"/>
                <w:b/>
                <w:bCs/>
                <w:color w:val="auto"/>
                <w:kern w:val="0"/>
                <w:sz w:val="28"/>
                <w:szCs w:val="28"/>
              </w:rPr>
              <w:t>单位</w:t>
            </w:r>
            <w:r>
              <w:rPr>
                <w:rFonts w:hint="eastAsia" w:ascii="方正楷体简体" w:hAnsi="方正楷体简体" w:eastAsia="方正楷体简体" w:cs="方正楷体简体"/>
                <w:b/>
                <w:bCs/>
                <w:color w:val="auto"/>
                <w:kern w:val="0"/>
                <w:sz w:val="28"/>
                <w:szCs w:val="28"/>
                <w:lang w:eastAsia="zh-CN"/>
              </w:rPr>
              <w:t>：</w:t>
            </w:r>
            <w:r>
              <w:rPr>
                <w:rFonts w:hint="eastAsia" w:ascii="方正楷体简体" w:hAnsi="方正楷体简体" w:eastAsia="方正楷体简体" w:cs="方正楷体简体"/>
                <w:b/>
                <w:bCs/>
                <w:color w:val="auto"/>
                <w:kern w:val="0"/>
                <w:sz w:val="28"/>
                <w:szCs w:val="28"/>
              </w:rPr>
              <w:t>万元</w:t>
            </w:r>
            <w:r>
              <w:rPr>
                <w:rFonts w:hint="eastAsia" w:ascii="方正楷体简体" w:hAnsi="方正楷体简体" w:eastAsia="方正楷体简体" w:cs="方正楷体简体"/>
                <w:b/>
                <w:bCs/>
                <w:color w:val="auto"/>
                <w:kern w:val="0"/>
                <w:sz w:val="28"/>
                <w:szCs w:val="28"/>
                <w:lang w:eastAsia="zh-CN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5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28"/>
                <w:szCs w:val="28"/>
              </w:rPr>
              <w:t>项目</w:t>
            </w:r>
          </w:p>
        </w:tc>
        <w:tc>
          <w:tcPr>
            <w:tcW w:w="165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28"/>
                <w:szCs w:val="28"/>
              </w:rPr>
              <w:t>本期金额</w:t>
            </w:r>
          </w:p>
        </w:tc>
        <w:tc>
          <w:tcPr>
            <w:tcW w:w="176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28"/>
                <w:szCs w:val="28"/>
              </w:rPr>
              <w:t>上期金额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58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28"/>
                <w:szCs w:val="28"/>
              </w:rPr>
              <w:t>营业总收入</w:t>
            </w:r>
          </w:p>
        </w:tc>
        <w:tc>
          <w:tcPr>
            <w:tcW w:w="165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28"/>
                <w:szCs w:val="28"/>
                <w:lang w:val="en-US" w:eastAsia="zh-CN"/>
              </w:rPr>
              <w:t>2232.18</w:t>
            </w:r>
          </w:p>
        </w:tc>
        <w:tc>
          <w:tcPr>
            <w:tcW w:w="176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28"/>
                <w:szCs w:val="28"/>
                <w:lang w:val="en-US" w:eastAsia="zh-CN"/>
              </w:rPr>
              <w:t>2480.68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58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28"/>
                <w:szCs w:val="28"/>
              </w:rPr>
              <w:t>营业总成本</w:t>
            </w:r>
          </w:p>
        </w:tc>
        <w:tc>
          <w:tcPr>
            <w:tcW w:w="165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28"/>
                <w:szCs w:val="28"/>
                <w:lang w:val="en-US" w:eastAsia="zh-CN"/>
              </w:rPr>
              <w:t>1817.09</w:t>
            </w:r>
          </w:p>
        </w:tc>
        <w:tc>
          <w:tcPr>
            <w:tcW w:w="176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28"/>
                <w:szCs w:val="28"/>
                <w:lang w:val="en-US" w:eastAsia="zh-CN"/>
              </w:rPr>
              <w:t>2087.96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58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28"/>
                <w:szCs w:val="28"/>
              </w:rPr>
              <w:t>利润总额</w:t>
            </w:r>
          </w:p>
        </w:tc>
        <w:tc>
          <w:tcPr>
            <w:tcW w:w="165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28"/>
                <w:szCs w:val="28"/>
                <w:lang w:val="en-US" w:eastAsia="zh-CN"/>
              </w:rPr>
              <w:t>426.76</w:t>
            </w:r>
          </w:p>
        </w:tc>
        <w:tc>
          <w:tcPr>
            <w:tcW w:w="176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widowControl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28"/>
                <w:szCs w:val="28"/>
                <w:lang w:val="en-US" w:eastAsia="zh-CN"/>
              </w:rPr>
              <w:t>408.29</w:t>
            </w:r>
          </w:p>
        </w:tc>
      </w:tr>
      <w:tr>
        <w:trPr>
          <w:trHeight w:val="435" w:hRule="atLeast"/>
          <w:jc w:val="center"/>
        </w:trPr>
        <w:tc>
          <w:tcPr>
            <w:tcW w:w="158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28"/>
                <w:szCs w:val="28"/>
              </w:rPr>
              <w:t>资产总额</w:t>
            </w:r>
          </w:p>
        </w:tc>
        <w:tc>
          <w:tcPr>
            <w:tcW w:w="165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28"/>
                <w:szCs w:val="28"/>
                <w:lang w:val="en-US" w:eastAsia="zh-CN"/>
              </w:rPr>
              <w:t>10723.62</w:t>
            </w:r>
          </w:p>
        </w:tc>
        <w:tc>
          <w:tcPr>
            <w:tcW w:w="176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28"/>
                <w:szCs w:val="28"/>
                <w:lang w:val="en-US" w:eastAsia="zh-CN"/>
              </w:rPr>
              <w:t>7161.18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5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28"/>
                <w:szCs w:val="28"/>
              </w:rPr>
              <w:t>负债总额</w:t>
            </w:r>
          </w:p>
        </w:tc>
        <w:tc>
          <w:tcPr>
            <w:tcW w:w="16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28"/>
                <w:szCs w:val="28"/>
                <w:lang w:val="en-US" w:eastAsia="zh-CN"/>
              </w:rPr>
              <w:t>6450.27</w:t>
            </w:r>
          </w:p>
        </w:tc>
        <w:tc>
          <w:tcPr>
            <w:tcW w:w="17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28"/>
                <w:szCs w:val="28"/>
                <w:lang w:val="en-US" w:eastAsia="zh-CN"/>
              </w:rPr>
              <w:t>3873</w:t>
            </w:r>
            <w:bookmarkStart w:id="0" w:name="_GoBack"/>
            <w:bookmarkEnd w:id="0"/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28"/>
                <w:szCs w:val="28"/>
                <w:lang w:val="en-US" w:eastAsia="zh-CN"/>
              </w:rPr>
              <w:t>.10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5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28"/>
                <w:szCs w:val="28"/>
              </w:rPr>
              <w:t>所有者权益</w:t>
            </w:r>
          </w:p>
        </w:tc>
        <w:tc>
          <w:tcPr>
            <w:tcW w:w="16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28"/>
                <w:szCs w:val="28"/>
                <w:lang w:val="en-US" w:eastAsia="zh-CN"/>
              </w:rPr>
              <w:t>4273.35</w:t>
            </w:r>
          </w:p>
        </w:tc>
        <w:tc>
          <w:tcPr>
            <w:tcW w:w="17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28"/>
                <w:szCs w:val="28"/>
                <w:lang w:val="en-US" w:eastAsia="zh-CN"/>
              </w:rPr>
              <w:t>3288.08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jc w:val="left"/>
        <w:textAlignment w:val="auto"/>
        <w:rPr>
          <w:rFonts w:hint="eastAsia" w:ascii="方正黑体简体" w:hAnsi="方正黑体简体" w:eastAsia="方正黑体简体" w:cs="方正黑体简体"/>
          <w:b/>
          <w:bCs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方正黑体简体" w:hAnsi="方正黑体简体" w:eastAsia="方正黑体简体" w:cs="方正黑体简体"/>
          <w:b/>
          <w:bCs/>
          <w:color w:val="auto"/>
          <w:kern w:val="0"/>
          <w:sz w:val="32"/>
          <w:szCs w:val="32"/>
          <w:lang w:val="en-US" w:eastAsia="zh-CN" w:bidi="ar"/>
        </w:rPr>
        <w:t>三、2023年度主要财务预算指标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jc w:val="left"/>
        <w:textAlignment w:val="auto"/>
        <w:rPr>
          <w:rFonts w:hint="default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营业总收入4,000.00万元，利润总额700.00万元。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jc w:val="left"/>
        <w:textAlignment w:val="auto"/>
        <w:rPr>
          <w:rFonts w:hint="eastAsia" w:ascii="方正黑体简体" w:hAnsi="方正黑体简体" w:eastAsia="方正黑体简体" w:cs="方正黑体简体"/>
          <w:b/>
          <w:bCs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方正黑体简体" w:hAnsi="方正黑体简体" w:eastAsia="方正黑体简体" w:cs="方正黑体简体"/>
          <w:b/>
          <w:bCs/>
          <w:color w:val="auto"/>
          <w:kern w:val="0"/>
          <w:sz w:val="32"/>
          <w:szCs w:val="32"/>
          <w:lang w:val="en-US" w:eastAsia="zh-CN" w:bidi="ar"/>
        </w:rPr>
        <w:t>四、上半年财务预算执行情况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jc w:val="left"/>
        <w:textAlignment w:val="auto"/>
        <w:rPr>
          <w:rFonts w:hint="default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2023年上半年，山东公用环保集团检测运营有限公司累计实现营业总收入2232.18万元，完成年度预算4000.00万元的55.80%，实现利润总额426.76万元，完成年度预算700.00万元的60.97%。</w:t>
      </w:r>
    </w:p>
    <w:p>
      <w:pPr>
        <w:rPr>
          <w:rFonts w:hint="eastAsia"/>
        </w:rPr>
      </w:pPr>
    </w:p>
    <w:p>
      <w:pPr>
        <w:rPr>
          <w:rFonts w:hint="eastAsia"/>
          <w:sz w:val="32"/>
          <w:szCs w:val="32"/>
        </w:rPr>
      </w:pPr>
    </w:p>
    <w:p>
      <w:pPr>
        <w:rPr>
          <w:sz w:val="32"/>
          <w:szCs w:val="32"/>
        </w:rPr>
      </w:pPr>
    </w:p>
    <w:sectPr>
      <w:pgSz w:w="11906" w:h="16838"/>
      <w:pgMar w:top="2098" w:right="1474" w:bottom="158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楷体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VlNjdlNjMwNmI5Mzg0YWE3NTNmODdlYTk2YjgwNDgifQ=="/>
  </w:docVars>
  <w:rsids>
    <w:rsidRoot w:val="7B952FE1"/>
    <w:rsid w:val="04AE0E61"/>
    <w:rsid w:val="14B24AC5"/>
    <w:rsid w:val="1F1C3BAF"/>
    <w:rsid w:val="22EF5136"/>
    <w:rsid w:val="2F0168ED"/>
    <w:rsid w:val="375571FE"/>
    <w:rsid w:val="44DD3D5F"/>
    <w:rsid w:val="49595A93"/>
    <w:rsid w:val="4AB0180A"/>
    <w:rsid w:val="4C891645"/>
    <w:rsid w:val="4D3E6805"/>
    <w:rsid w:val="5F1C212B"/>
    <w:rsid w:val="64D57CB4"/>
    <w:rsid w:val="6CD93ED8"/>
    <w:rsid w:val="6FDF3F39"/>
    <w:rsid w:val="7B952F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 w:afterLines="0" w:afterAutospacing="0"/>
    </w:pPr>
  </w:style>
  <w:style w:type="paragraph" w:styleId="3">
    <w:name w:val="Body Text First Indent 2"/>
    <w:basedOn w:val="4"/>
    <w:next w:val="1"/>
    <w:qFormat/>
    <w:uiPriority w:val="99"/>
    <w:pPr>
      <w:tabs>
        <w:tab w:val="left" w:pos="945"/>
        <w:tab w:val="left" w:pos="1155"/>
      </w:tabs>
      <w:spacing w:after="120"/>
      <w:ind w:left="420" w:leftChars="200" w:firstLine="420" w:firstLineChars="200"/>
    </w:pPr>
    <w:rPr>
      <w:rFonts w:ascii="Times New Roman"/>
      <w:kern w:val="0"/>
      <w:sz w:val="21"/>
      <w:szCs w:val="21"/>
    </w:rPr>
  </w:style>
  <w:style w:type="paragraph" w:styleId="4">
    <w:name w:val="Body Text Indent"/>
    <w:basedOn w:val="1"/>
    <w:next w:val="5"/>
    <w:qFormat/>
    <w:uiPriority w:val="99"/>
    <w:pPr>
      <w:tabs>
        <w:tab w:val="left" w:pos="945"/>
        <w:tab w:val="left" w:pos="1155"/>
      </w:tabs>
      <w:ind w:firstLine="435"/>
    </w:pPr>
    <w:rPr>
      <w:rFonts w:ascii="宋体"/>
      <w:sz w:val="24"/>
    </w:rPr>
  </w:style>
  <w:style w:type="paragraph" w:styleId="5">
    <w:name w:val="Normal Indent"/>
    <w:basedOn w:val="1"/>
    <w:next w:val="1"/>
    <w:qFormat/>
    <w:uiPriority w:val="0"/>
    <w:pPr>
      <w:ind w:firstLine="420" w:firstLineChars="200"/>
    </w:p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9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445</Words>
  <Characters>604</Characters>
  <Lines>0</Lines>
  <Paragraphs>0</Paragraphs>
  <TotalTime>3</TotalTime>
  <ScaleCrop>false</ScaleCrop>
  <LinksUpToDate>false</LinksUpToDate>
  <CharactersWithSpaces>604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2023-07-03T03:15:00Z</dcterms:created>
  <dc:creator>hp</dc:creator>
  <cp:lastModifiedBy>张娜</cp:lastModifiedBy>
  <dcterms:modified xsi:type="dcterms:W3CDTF">2023-08-31T08:50:05Z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8322487364264F53B8B2569D2BC8F7F8_11</vt:lpwstr>
  </property>
</Properties>
</file>