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 xml:space="preserve">山东济宁公用房地产开发有限公司 </w:t>
      </w:r>
    </w:p>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2023年</w:t>
      </w:r>
      <w:r>
        <w:rPr>
          <w:rFonts w:hint="default" w:ascii="Times New Roman" w:hAnsi="Times New Roman" w:eastAsia="方正小标宋简体" w:cs="Times New Roman"/>
          <w:b/>
          <w:bCs/>
          <w:kern w:val="0"/>
          <w:sz w:val="44"/>
          <w:szCs w:val="44"/>
          <w:lang w:val="zh-CN" w:eastAsia="zh-CN" w:bidi="zh-CN"/>
        </w:rPr>
        <w:t>中期</w:t>
      </w:r>
      <w:r>
        <w:rPr>
          <w:rFonts w:hint="default" w:ascii="Times New Roman" w:hAnsi="Times New Roman" w:eastAsia="方正小标宋简体" w:cs="Times New Roman"/>
          <w:b/>
          <w:bCs/>
          <w:kern w:val="0"/>
          <w:sz w:val="44"/>
          <w:szCs w:val="44"/>
          <w:lang w:val="zh-CN" w:bidi="zh-CN"/>
        </w:rPr>
        <w:t>财务等重大信息公开</w:t>
      </w:r>
    </w:p>
    <w:p>
      <w:pPr>
        <w:keepNext w:val="0"/>
        <w:keepLines w:val="0"/>
        <w:pageBreakBefore w:val="0"/>
        <w:kinsoku/>
        <w:wordWrap/>
        <w:overflowPunct/>
        <w:topLinePunct w:val="0"/>
        <w:bidi w:val="0"/>
        <w:adjustRightInd/>
        <w:spacing w:line="600" w:lineRule="exact"/>
        <w:rPr>
          <w:rFonts w:hint="default" w:ascii="Times New Roman" w:hAnsi="Times New Roman" w:eastAsia="方正小标宋简体" w:cs="Times New Roman"/>
          <w:b/>
          <w:bCs/>
          <w:sz w:val="32"/>
          <w:szCs w:val="32"/>
        </w:rPr>
      </w:pPr>
    </w:p>
    <w:p>
      <w:pPr>
        <w:keepNext w:val="0"/>
        <w:keepLines w:val="0"/>
        <w:pageBreakBefore w:val="0"/>
        <w:numPr>
          <w:ilvl w:val="0"/>
          <w:numId w:val="1"/>
        </w:numPr>
        <w:kinsoku/>
        <w:wordWrap/>
        <w:overflowPunct/>
        <w:topLinePunct w:val="0"/>
        <w:bidi w:val="0"/>
        <w:adjustRightInd/>
        <w:snapToGrid w:val="0"/>
        <w:spacing w:line="60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 xml:space="preserve">公司基本情况 </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eastAsia="方正楷体简体" w:cs="Times New Roman"/>
          <w:b/>
          <w:bCs/>
          <w:sz w:val="32"/>
          <w:szCs w:val="32"/>
        </w:rPr>
      </w:pPr>
      <w:r>
        <w:rPr>
          <w:rFonts w:hint="default" w:ascii="Times New Roman" w:hAnsi="Times New Roman" w:eastAsia="方正楷体简体" w:cs="Times New Roman"/>
          <w:b/>
          <w:bCs/>
          <w:sz w:val="32"/>
          <w:szCs w:val="32"/>
        </w:rPr>
        <w:t>（</w:t>
      </w:r>
      <w:r>
        <w:rPr>
          <w:rFonts w:hint="eastAsia" w:ascii="Times New Roman" w:hAnsi="Times New Roman" w:eastAsia="方正楷体简体" w:cs="Times New Roman"/>
          <w:b/>
          <w:bCs/>
          <w:sz w:val="32"/>
          <w:szCs w:val="32"/>
          <w:lang w:val="en-US" w:eastAsia="zh-CN"/>
        </w:rPr>
        <w:t>一</w:t>
      </w:r>
      <w:r>
        <w:rPr>
          <w:rFonts w:hint="default" w:ascii="Times New Roman" w:hAnsi="Times New Roman" w:eastAsia="方正楷体简体" w:cs="Times New Roman"/>
          <w:b/>
          <w:bCs/>
          <w:sz w:val="32"/>
          <w:szCs w:val="32"/>
        </w:rPr>
        <w:t>）企业基本信息</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企业名称：山东济宁公用房地产开发有限公司</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企业类型：有限责任公司</w:t>
      </w:r>
    </w:p>
    <w:p>
      <w:pPr>
        <w:keepNext w:val="0"/>
        <w:keepLines w:val="0"/>
        <w:pageBreakBefore w:val="0"/>
        <w:kinsoku/>
        <w:wordWrap/>
        <w:overflowPunct/>
        <w:topLinePunct w:val="0"/>
        <w:bidi w:val="0"/>
        <w:adjustRightInd/>
        <w:spacing w:line="600" w:lineRule="exact"/>
        <w:ind w:left="2207" w:leftChars="286" w:hanging="1606" w:hangingChars="5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经营范围：</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房地产开发与经营（凭资质开展经营）、房屋出租。（依法须经批准的项目，经相关部门批准后开展经营活动）</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成立日期：2010</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10</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26</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注册地址：济宁高新区327国道南火炬工业园内</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登记机关：济宁高新技术产业开发区行政审批服务局</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eastAsia="方正楷体简体" w:cs="Times New Roman"/>
          <w:b/>
          <w:bCs/>
          <w:sz w:val="32"/>
          <w:szCs w:val="32"/>
        </w:rPr>
      </w:pPr>
      <w:r>
        <w:rPr>
          <w:rFonts w:hint="default" w:ascii="Times New Roman" w:hAnsi="Times New Roman" w:eastAsia="方正楷体简体" w:cs="Times New Roman"/>
          <w:b/>
          <w:bCs/>
          <w:sz w:val="32"/>
          <w:szCs w:val="32"/>
        </w:rPr>
        <w:t>（</w:t>
      </w:r>
      <w:r>
        <w:rPr>
          <w:rFonts w:hint="eastAsia" w:ascii="Times New Roman" w:hAnsi="Times New Roman" w:eastAsia="方正楷体简体" w:cs="Times New Roman"/>
          <w:b/>
          <w:bCs/>
          <w:sz w:val="32"/>
          <w:szCs w:val="32"/>
          <w:lang w:val="en-US" w:eastAsia="zh-CN"/>
        </w:rPr>
        <w:t>二</w:t>
      </w:r>
      <w:r>
        <w:rPr>
          <w:rFonts w:hint="default" w:ascii="Times New Roman" w:hAnsi="Times New Roman" w:eastAsia="方正楷体简体" w:cs="Times New Roman"/>
          <w:b/>
          <w:bCs/>
          <w:sz w:val="32"/>
          <w:szCs w:val="32"/>
        </w:rPr>
        <w:t>）企业简介</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山东济宁公用房地产开发有限公司2010年10月26日成立，现为山东公用置业集团有限公司权属子公司。经营范围为房地产开发、经营及房屋租赁。公司成立以来，以“树立品牌形象，建设优质工程，打造诚信企业”为宗旨，坚持以“市场为导向、开发为重点、经营为龙头、质量为根本”的开发理念和经营方针，积极打造优质环保工程，走品牌化道路。</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2014年成功开发太白湖区清泉美景住宅片区，建设有多栋高层住宅建筑、公共建筑、商务和商业建筑，满足不同人群对高品质居住和商务办公环境的需求。清泉美景二期商务片区目前正在建设中。该项目一期住宅工程曾荣获“山东省建筑业新技术应用示范工程”“山东省建筑施工安全文明小区”“山东省、济宁市优质结构”“运河杯”“沂蒙杯”等荣誉。</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2018年8月与九巨龙房地产开发集团有限公司合资成立了公司，共同开发梁山龙城公馆、高新区理想城项目。</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cs="Times New Roman" w:eastAsiaTheme="majorEastAsia"/>
          <w:b/>
          <w:bCs/>
          <w:sz w:val="32"/>
          <w:szCs w:val="32"/>
        </w:rPr>
      </w:pPr>
      <w:r>
        <w:rPr>
          <w:rFonts w:hint="default" w:ascii="Times New Roman" w:hAnsi="Times New Roman" w:eastAsia="方正仿宋简体" w:cs="Times New Roman"/>
          <w:b/>
          <w:bCs/>
          <w:sz w:val="32"/>
          <w:szCs w:val="32"/>
        </w:rPr>
        <w:t>公司致力于开发高档精品楼盘，致力于优化济宁人居环境，致力于精心为客户提供全方位、高品质的良好服务。在经营管理中，积极探索与市场机制相适应的经营策略，坚持秉承力求创新，以国家政策为指导，充分发挥国有企业的资源优势，以市场为主导，以客户的需求和满意为目标，以质量占领市场，以服务赢得人心的经营理念，努力为济宁人民提供优雅的温馨家园。</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eastAsia="方正楷体简体" w:cs="Times New Roman"/>
          <w:b/>
          <w:bCs/>
          <w:sz w:val="32"/>
          <w:szCs w:val="32"/>
        </w:rPr>
      </w:pPr>
      <w:r>
        <w:rPr>
          <w:rFonts w:hint="default" w:ascii="Times New Roman" w:hAnsi="Times New Roman" w:eastAsia="方正楷体简体" w:cs="Times New Roman"/>
          <w:b/>
          <w:bCs/>
          <w:sz w:val="32"/>
          <w:szCs w:val="32"/>
        </w:rPr>
        <w:t>（三）机构设置</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eastAsia="方正仿宋简体" w:cs="Times New Roman"/>
          <w:b/>
          <w:bCs/>
          <w:spacing w:val="0"/>
          <w:sz w:val="32"/>
          <w:szCs w:val="32"/>
        </w:rPr>
      </w:pPr>
      <w:r>
        <w:rPr>
          <w:rFonts w:hint="default" w:ascii="Times New Roman" w:hAnsi="Times New Roman" w:eastAsia="方正仿宋简体" w:cs="Times New Roman"/>
          <w:b/>
          <w:bCs/>
          <w:spacing w:val="0"/>
          <w:sz w:val="32"/>
          <w:szCs w:val="32"/>
        </w:rPr>
        <w:t>公司设董事会，董事5人、董事长1人、监事1人；经理层4人。</w:t>
      </w:r>
    </w:p>
    <w:p>
      <w:pPr>
        <w:keepNext w:val="0"/>
        <w:keepLines w:val="0"/>
        <w:pageBreakBefore w:val="0"/>
        <w:numPr>
          <w:ilvl w:val="0"/>
          <w:numId w:val="1"/>
        </w:numPr>
        <w:kinsoku/>
        <w:wordWrap/>
        <w:overflowPunct/>
        <w:topLinePunct w:val="0"/>
        <w:bidi w:val="0"/>
        <w:adjustRightInd/>
        <w:snapToGrid w:val="0"/>
        <w:spacing w:line="600" w:lineRule="exact"/>
        <w:ind w:firstLine="643" w:firstLineChars="200"/>
        <w:rPr>
          <w:rFonts w:hint="default" w:ascii="Times New Roman" w:hAnsi="Times New Roman" w:eastAsia="方正黑体简体" w:cs="Times New Roman"/>
          <w:b/>
          <w:sz w:val="32"/>
          <w:szCs w:val="32"/>
        </w:rPr>
      </w:pPr>
      <w:r>
        <w:rPr>
          <w:rFonts w:hint="default" w:ascii="Times New Roman" w:hAnsi="Times New Roman" w:eastAsia="方正黑体简体" w:cs="Times New Roman"/>
          <w:b/>
          <w:bCs/>
          <w:sz w:val="32"/>
          <w:szCs w:val="32"/>
        </w:rPr>
        <w:t>主要会计数据和财务指标</w:t>
      </w:r>
    </w:p>
    <w:tbl>
      <w:tblPr>
        <w:tblStyle w:val="7"/>
        <w:tblW w:w="9420" w:type="dxa"/>
        <w:tblInd w:w="-102" w:type="dxa"/>
        <w:tblLayout w:type="fixed"/>
        <w:tblCellMar>
          <w:top w:w="0" w:type="dxa"/>
          <w:left w:w="108" w:type="dxa"/>
          <w:bottom w:w="0" w:type="dxa"/>
          <w:right w:w="108" w:type="dxa"/>
        </w:tblCellMar>
      </w:tblPr>
      <w:tblGrid>
        <w:gridCol w:w="1905"/>
        <w:gridCol w:w="1650"/>
        <w:gridCol w:w="2030"/>
        <w:gridCol w:w="2200"/>
        <w:gridCol w:w="1635"/>
      </w:tblGrid>
      <w:tr>
        <w:tblPrEx>
          <w:tblCellMar>
            <w:top w:w="0" w:type="dxa"/>
            <w:left w:w="108" w:type="dxa"/>
            <w:bottom w:w="0" w:type="dxa"/>
            <w:right w:w="108" w:type="dxa"/>
          </w:tblCellMar>
        </w:tblPrEx>
        <w:trPr>
          <w:trHeight w:val="90" w:hRule="atLeast"/>
        </w:trPr>
        <w:tc>
          <w:tcPr>
            <w:tcW w:w="9420" w:type="dxa"/>
            <w:gridSpan w:val="5"/>
            <w:tcBorders>
              <w:top w:val="nil"/>
              <w:left w:val="nil"/>
              <w:bottom w:val="single" w:color="000000" w:sz="8" w:space="0"/>
              <w:right w:val="nil"/>
            </w:tcBorders>
            <w:shd w:val="clear" w:color="auto" w:fill="auto"/>
            <w:noWrap/>
            <w:vAlign w:val="center"/>
          </w:tcPr>
          <w:p>
            <w:pPr>
              <w:keepNext w:val="0"/>
              <w:keepLines w:val="0"/>
              <w:pageBreakBefore w:val="0"/>
              <w:widowControl/>
              <w:kinsoku/>
              <w:wordWrap/>
              <w:overflowPunct/>
              <w:topLinePunct w:val="0"/>
              <w:bidi w:val="0"/>
              <w:adjustRightInd/>
              <w:spacing w:line="600" w:lineRule="exact"/>
              <w:ind w:firstLine="5722" w:firstLineChars="1900"/>
              <w:jc w:val="left"/>
              <w:textAlignment w:val="center"/>
              <w:rPr>
                <w:rFonts w:hint="default" w:ascii="Times New Roman" w:hAnsi="Times New Roman" w:eastAsia="宋体" w:cs="Times New Roman"/>
                <w:color w:val="000000"/>
                <w:sz w:val="22"/>
                <w:szCs w:val="22"/>
              </w:rPr>
            </w:pPr>
            <w:bookmarkStart w:id="0" w:name="_GoBack"/>
            <w:bookmarkEnd w:id="0"/>
            <w:r>
              <w:rPr>
                <w:rFonts w:hint="default" w:ascii="Times New Roman" w:hAnsi="Times New Roman" w:eastAsia="方正楷体简体" w:cs="Times New Roman"/>
                <w:b/>
                <w:bCs/>
                <w:kern w:val="0"/>
                <w:sz w:val="30"/>
                <w:szCs w:val="30"/>
                <w:lang w:val="en-US" w:eastAsia="zh-CN" w:bidi="zh-CN"/>
              </w:rPr>
              <w:t xml:space="preserve">      </w:t>
            </w:r>
            <w:r>
              <w:rPr>
                <w:rFonts w:hint="eastAsia" w:ascii="Times New Roman" w:hAnsi="Times New Roman" w:eastAsia="方正楷体简体" w:cs="Times New Roman"/>
                <w:b/>
                <w:bCs/>
                <w:kern w:val="0"/>
                <w:sz w:val="30"/>
                <w:szCs w:val="30"/>
                <w:lang w:val="en-US" w:eastAsia="zh-CN" w:bidi="zh-CN"/>
              </w:rPr>
              <w:t xml:space="preserve">        </w:t>
            </w:r>
            <w:r>
              <w:rPr>
                <w:rFonts w:hint="default" w:ascii="Times New Roman" w:hAnsi="Times New Roman" w:eastAsia="方正楷体简体" w:cs="Times New Roman"/>
                <w:b/>
                <w:bCs/>
                <w:kern w:val="0"/>
                <w:sz w:val="30"/>
                <w:szCs w:val="30"/>
                <w:lang w:val="en-US" w:eastAsia="zh-CN" w:bidi="zh-CN"/>
              </w:rPr>
              <w:t xml:space="preserve">单位：万元                        </w:t>
            </w:r>
          </w:p>
        </w:tc>
      </w:tr>
      <w:tr>
        <w:tblPrEx>
          <w:tblCellMar>
            <w:top w:w="0" w:type="dxa"/>
            <w:left w:w="108" w:type="dxa"/>
            <w:bottom w:w="0" w:type="dxa"/>
            <w:right w:w="108" w:type="dxa"/>
          </w:tblCellMar>
        </w:tblPrEx>
        <w:trPr>
          <w:trHeight w:val="600" w:hRule="atLeast"/>
        </w:trPr>
        <w:tc>
          <w:tcPr>
            <w:tcW w:w="19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17"/>
                <w:kern w:val="0"/>
                <w:sz w:val="32"/>
                <w:szCs w:val="32"/>
                <w:vertAlign w:val="baseline"/>
                <w:lang w:val="en-US" w:eastAsia="zh-CN" w:bidi="zh-CN"/>
              </w:rPr>
            </w:pPr>
            <w:r>
              <w:rPr>
                <w:rFonts w:hint="default" w:ascii="Times New Roman" w:hAnsi="Times New Roman" w:eastAsia="方正仿宋简体" w:cs="Times New Roman"/>
                <w:b/>
                <w:bCs/>
                <w:spacing w:val="-17"/>
                <w:kern w:val="0"/>
                <w:sz w:val="32"/>
                <w:szCs w:val="32"/>
                <w:vertAlign w:val="baseline"/>
                <w:lang w:val="en-US" w:eastAsia="zh-CN" w:bidi="zh-CN"/>
              </w:rPr>
              <w:t>项</w:t>
            </w:r>
            <w:r>
              <w:rPr>
                <w:rFonts w:hint="eastAsia" w:ascii="Times New Roman" w:hAnsi="Times New Roman" w:eastAsia="方正仿宋简体" w:cs="Times New Roman"/>
                <w:b/>
                <w:bCs/>
                <w:spacing w:val="-17"/>
                <w:kern w:val="0"/>
                <w:sz w:val="32"/>
                <w:szCs w:val="32"/>
                <w:vertAlign w:val="baseline"/>
                <w:lang w:val="en-US" w:eastAsia="zh-CN" w:bidi="zh-CN"/>
              </w:rPr>
              <w:t xml:space="preserve">  </w:t>
            </w:r>
            <w:r>
              <w:rPr>
                <w:rFonts w:hint="default" w:ascii="Times New Roman" w:hAnsi="Times New Roman" w:eastAsia="方正仿宋简体" w:cs="Times New Roman"/>
                <w:b/>
                <w:bCs/>
                <w:spacing w:val="-17"/>
                <w:kern w:val="0"/>
                <w:sz w:val="32"/>
                <w:szCs w:val="32"/>
                <w:vertAlign w:val="baseline"/>
                <w:lang w:val="en-US" w:eastAsia="zh-CN" w:bidi="zh-CN"/>
              </w:rPr>
              <w:t>目</w:t>
            </w:r>
          </w:p>
        </w:tc>
        <w:tc>
          <w:tcPr>
            <w:tcW w:w="165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17"/>
                <w:kern w:val="0"/>
                <w:sz w:val="32"/>
                <w:szCs w:val="32"/>
                <w:vertAlign w:val="baseline"/>
                <w:lang w:val="en-US" w:eastAsia="zh-CN" w:bidi="zh-CN"/>
              </w:rPr>
            </w:pPr>
            <w:r>
              <w:rPr>
                <w:rFonts w:hint="default" w:ascii="Times New Roman" w:hAnsi="Times New Roman" w:eastAsia="方正仿宋简体" w:cs="Times New Roman"/>
                <w:b/>
                <w:bCs/>
                <w:spacing w:val="-17"/>
                <w:kern w:val="0"/>
                <w:sz w:val="32"/>
                <w:szCs w:val="32"/>
                <w:vertAlign w:val="baseline"/>
                <w:lang w:val="en-US" w:eastAsia="zh-CN" w:bidi="zh-CN"/>
              </w:rPr>
              <w:t>本期金额</w:t>
            </w:r>
          </w:p>
        </w:tc>
        <w:tc>
          <w:tcPr>
            <w:tcW w:w="203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17"/>
                <w:kern w:val="0"/>
                <w:sz w:val="32"/>
                <w:szCs w:val="32"/>
                <w:vertAlign w:val="baseline"/>
                <w:lang w:val="en-US" w:eastAsia="zh-CN" w:bidi="zh-CN"/>
              </w:rPr>
            </w:pPr>
            <w:r>
              <w:rPr>
                <w:rFonts w:hint="default" w:ascii="Times New Roman" w:hAnsi="Times New Roman" w:eastAsia="方正仿宋简体" w:cs="Times New Roman"/>
                <w:b/>
                <w:bCs/>
                <w:spacing w:val="-17"/>
                <w:kern w:val="0"/>
                <w:sz w:val="32"/>
                <w:szCs w:val="32"/>
                <w:vertAlign w:val="baseline"/>
                <w:lang w:val="en-US" w:eastAsia="zh-CN" w:bidi="zh-CN"/>
              </w:rPr>
              <w:t>年度预算目标</w:t>
            </w:r>
          </w:p>
        </w:tc>
        <w:tc>
          <w:tcPr>
            <w:tcW w:w="220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17"/>
                <w:kern w:val="0"/>
                <w:sz w:val="32"/>
                <w:szCs w:val="32"/>
                <w:vertAlign w:val="baseline"/>
                <w:lang w:val="en-US" w:eastAsia="zh-CN" w:bidi="zh-CN"/>
              </w:rPr>
            </w:pPr>
            <w:r>
              <w:rPr>
                <w:rFonts w:hint="default" w:ascii="Times New Roman" w:hAnsi="Times New Roman" w:eastAsia="方正仿宋简体" w:cs="Times New Roman"/>
                <w:b/>
                <w:bCs/>
                <w:spacing w:val="-17"/>
                <w:kern w:val="0"/>
                <w:sz w:val="32"/>
                <w:szCs w:val="32"/>
                <w:vertAlign w:val="baseline"/>
                <w:lang w:val="en-US" w:eastAsia="zh-CN" w:bidi="zh-CN"/>
              </w:rPr>
              <w:t>预算完成情况</w:t>
            </w:r>
          </w:p>
        </w:tc>
        <w:tc>
          <w:tcPr>
            <w:tcW w:w="1635"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17"/>
                <w:kern w:val="0"/>
                <w:sz w:val="32"/>
                <w:szCs w:val="32"/>
                <w:vertAlign w:val="baseline"/>
                <w:lang w:val="en-US" w:eastAsia="zh-CN" w:bidi="zh-CN"/>
              </w:rPr>
            </w:pPr>
            <w:r>
              <w:rPr>
                <w:rFonts w:hint="default" w:ascii="Times New Roman" w:hAnsi="Times New Roman" w:eastAsia="方正仿宋简体" w:cs="Times New Roman"/>
                <w:b/>
                <w:bCs/>
                <w:spacing w:val="-17"/>
                <w:kern w:val="0"/>
                <w:sz w:val="32"/>
                <w:szCs w:val="32"/>
                <w:vertAlign w:val="baseline"/>
                <w:lang w:val="en-US" w:eastAsia="zh-CN" w:bidi="zh-CN"/>
              </w:rPr>
              <w:t>上年同期</w:t>
            </w:r>
          </w:p>
        </w:tc>
      </w:tr>
      <w:tr>
        <w:tblPrEx>
          <w:tblCellMar>
            <w:top w:w="0" w:type="dxa"/>
            <w:left w:w="108" w:type="dxa"/>
            <w:bottom w:w="0" w:type="dxa"/>
            <w:right w:w="108" w:type="dxa"/>
          </w:tblCellMar>
        </w:tblPrEx>
        <w:trPr>
          <w:trHeight w:val="600" w:hRule="atLeast"/>
        </w:trPr>
        <w:tc>
          <w:tcPr>
            <w:tcW w:w="1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营业总收入</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87.00 </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95.35 </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91.24%</w:t>
            </w:r>
          </w:p>
        </w:tc>
        <w:tc>
          <w:tcPr>
            <w:tcW w:w="163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176.00 </w:t>
            </w:r>
          </w:p>
        </w:tc>
      </w:tr>
      <w:tr>
        <w:tblPrEx>
          <w:tblCellMar>
            <w:top w:w="0" w:type="dxa"/>
            <w:left w:w="108" w:type="dxa"/>
            <w:bottom w:w="0" w:type="dxa"/>
            <w:right w:w="108" w:type="dxa"/>
          </w:tblCellMar>
        </w:tblPrEx>
        <w:trPr>
          <w:trHeight w:val="600" w:hRule="atLeast"/>
        </w:trPr>
        <w:tc>
          <w:tcPr>
            <w:tcW w:w="1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营业总成本</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82.00 </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1,677.67 </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4.89%</w:t>
            </w:r>
          </w:p>
        </w:tc>
        <w:tc>
          <w:tcPr>
            <w:tcW w:w="163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128.00 </w:t>
            </w:r>
          </w:p>
        </w:tc>
      </w:tr>
      <w:tr>
        <w:tblPrEx>
          <w:tblCellMar>
            <w:top w:w="0" w:type="dxa"/>
            <w:left w:w="108" w:type="dxa"/>
            <w:bottom w:w="0" w:type="dxa"/>
            <w:right w:w="108" w:type="dxa"/>
          </w:tblCellMar>
        </w:tblPrEx>
        <w:trPr>
          <w:trHeight w:val="600" w:hRule="atLeast"/>
        </w:trPr>
        <w:tc>
          <w:tcPr>
            <w:tcW w:w="1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利润总额</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-779.00 </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1,618.68 </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-48.13%</w:t>
            </w:r>
          </w:p>
        </w:tc>
        <w:tc>
          <w:tcPr>
            <w:tcW w:w="163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-637.00 </w:t>
            </w:r>
          </w:p>
        </w:tc>
      </w:tr>
      <w:tr>
        <w:tblPrEx>
          <w:tblCellMar>
            <w:top w:w="0" w:type="dxa"/>
            <w:left w:w="108" w:type="dxa"/>
            <w:bottom w:w="0" w:type="dxa"/>
            <w:right w:w="108" w:type="dxa"/>
          </w:tblCellMar>
        </w:tblPrEx>
        <w:trPr>
          <w:trHeight w:val="600" w:hRule="atLeast"/>
        </w:trPr>
        <w:tc>
          <w:tcPr>
            <w:tcW w:w="1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净利润</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-779.00 </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1,618.68 </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-48.13%</w:t>
            </w:r>
          </w:p>
        </w:tc>
        <w:tc>
          <w:tcPr>
            <w:tcW w:w="163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 xml:space="preserve"> -637.00 </w:t>
            </w:r>
          </w:p>
        </w:tc>
      </w:tr>
      <w:tr>
        <w:tblPrEx>
          <w:tblCellMar>
            <w:top w:w="0" w:type="dxa"/>
            <w:left w:w="108" w:type="dxa"/>
            <w:bottom w:w="0" w:type="dxa"/>
            <w:right w:w="108" w:type="dxa"/>
          </w:tblCellMar>
        </w:tblPrEx>
        <w:trPr>
          <w:trHeight w:val="600" w:hRule="atLeast"/>
        </w:trPr>
        <w:tc>
          <w:tcPr>
            <w:tcW w:w="1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资产总额</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11"/>
                <w:kern w:val="0"/>
                <w:sz w:val="32"/>
                <w:szCs w:val="32"/>
                <w:vertAlign w:val="baseline"/>
                <w:lang w:val="en-US" w:eastAsia="zh-CN" w:bidi="zh-CN"/>
              </w:rPr>
            </w:pPr>
            <w:r>
              <w:rPr>
                <w:rFonts w:hint="default" w:ascii="Times New Roman" w:hAnsi="Times New Roman" w:eastAsia="方正仿宋简体" w:cs="Times New Roman"/>
                <w:b/>
                <w:bCs/>
                <w:spacing w:val="-11"/>
                <w:kern w:val="0"/>
                <w:sz w:val="32"/>
                <w:szCs w:val="32"/>
                <w:vertAlign w:val="baseline"/>
                <w:lang w:val="en-US" w:eastAsia="zh-CN" w:bidi="zh-CN"/>
              </w:rPr>
              <w:t xml:space="preserve">290,551.00 </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11"/>
                <w:kern w:val="0"/>
                <w:sz w:val="32"/>
                <w:szCs w:val="32"/>
                <w:vertAlign w:val="baseline"/>
                <w:lang w:val="en-US" w:eastAsia="zh-CN" w:bidi="zh-CN"/>
              </w:rPr>
            </w:pPr>
            <w:r>
              <w:rPr>
                <w:rFonts w:hint="default" w:ascii="Times New Roman" w:hAnsi="Times New Roman" w:eastAsia="方正仿宋简体" w:cs="Times New Roman"/>
                <w:b/>
                <w:bCs/>
                <w:spacing w:val="-11"/>
                <w:kern w:val="0"/>
                <w:sz w:val="32"/>
                <w:szCs w:val="32"/>
                <w:vertAlign w:val="baseline"/>
                <w:lang w:val="en-US" w:eastAsia="zh-CN" w:bidi="zh-CN"/>
              </w:rPr>
              <w:t xml:space="preserve"> 303,692.69 </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11"/>
                <w:kern w:val="0"/>
                <w:sz w:val="32"/>
                <w:szCs w:val="32"/>
                <w:vertAlign w:val="baseline"/>
                <w:lang w:val="en-US" w:eastAsia="zh-CN" w:bidi="zh-CN"/>
              </w:rPr>
            </w:pPr>
            <w:r>
              <w:rPr>
                <w:rFonts w:hint="default" w:ascii="Times New Roman" w:hAnsi="Times New Roman" w:eastAsia="方正仿宋简体" w:cs="Times New Roman"/>
                <w:b/>
                <w:bCs/>
                <w:spacing w:val="-11"/>
                <w:kern w:val="0"/>
                <w:sz w:val="32"/>
                <w:szCs w:val="32"/>
                <w:vertAlign w:val="baseline"/>
                <w:lang w:val="en-US" w:eastAsia="zh-CN" w:bidi="zh-CN"/>
              </w:rPr>
              <w:t>95.67%</w:t>
            </w:r>
          </w:p>
        </w:tc>
        <w:tc>
          <w:tcPr>
            <w:tcW w:w="163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6"/>
                <w:kern w:val="0"/>
                <w:sz w:val="32"/>
                <w:szCs w:val="32"/>
                <w:vertAlign w:val="baseline"/>
                <w:lang w:val="en-US" w:eastAsia="zh-CN" w:bidi="zh-CN"/>
              </w:rPr>
            </w:pPr>
            <w:r>
              <w:rPr>
                <w:rFonts w:hint="default" w:ascii="Times New Roman" w:hAnsi="Times New Roman" w:eastAsia="方正仿宋简体" w:cs="Times New Roman"/>
                <w:b/>
                <w:bCs/>
                <w:spacing w:val="-6"/>
                <w:kern w:val="0"/>
                <w:sz w:val="32"/>
                <w:szCs w:val="32"/>
                <w:vertAlign w:val="baseline"/>
                <w:lang w:val="en-US" w:eastAsia="zh-CN" w:bidi="zh-CN"/>
              </w:rPr>
              <w:t xml:space="preserve">237,791.00 </w:t>
            </w:r>
          </w:p>
        </w:tc>
      </w:tr>
      <w:tr>
        <w:tblPrEx>
          <w:tblCellMar>
            <w:top w:w="0" w:type="dxa"/>
            <w:left w:w="108" w:type="dxa"/>
            <w:bottom w:w="0" w:type="dxa"/>
            <w:right w:w="108" w:type="dxa"/>
          </w:tblCellMar>
        </w:tblPrEx>
        <w:trPr>
          <w:trHeight w:val="600" w:hRule="atLeast"/>
        </w:trPr>
        <w:tc>
          <w:tcPr>
            <w:tcW w:w="1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负债总额</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11"/>
                <w:kern w:val="0"/>
                <w:sz w:val="32"/>
                <w:szCs w:val="32"/>
                <w:vertAlign w:val="baseline"/>
                <w:lang w:val="en-US" w:eastAsia="zh-CN" w:bidi="zh-CN"/>
              </w:rPr>
            </w:pPr>
            <w:r>
              <w:rPr>
                <w:rFonts w:hint="default" w:ascii="Times New Roman" w:hAnsi="Times New Roman" w:eastAsia="方正仿宋简体" w:cs="Times New Roman"/>
                <w:b/>
                <w:bCs/>
                <w:spacing w:val="-11"/>
                <w:kern w:val="0"/>
                <w:sz w:val="32"/>
                <w:szCs w:val="32"/>
                <w:vertAlign w:val="baseline"/>
                <w:lang w:val="en-US" w:eastAsia="zh-CN" w:bidi="zh-CN"/>
              </w:rPr>
              <w:t xml:space="preserve">201,186.00 </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11"/>
                <w:kern w:val="0"/>
                <w:sz w:val="32"/>
                <w:szCs w:val="32"/>
                <w:vertAlign w:val="baseline"/>
                <w:lang w:val="en-US" w:eastAsia="zh-CN" w:bidi="zh-CN"/>
              </w:rPr>
            </w:pPr>
            <w:r>
              <w:rPr>
                <w:rFonts w:hint="default" w:ascii="Times New Roman" w:hAnsi="Times New Roman" w:eastAsia="方正仿宋简体" w:cs="Times New Roman"/>
                <w:b/>
                <w:bCs/>
                <w:spacing w:val="-11"/>
                <w:kern w:val="0"/>
                <w:sz w:val="32"/>
                <w:szCs w:val="32"/>
                <w:vertAlign w:val="baseline"/>
                <w:lang w:val="en-US" w:eastAsia="zh-CN" w:bidi="zh-CN"/>
              </w:rPr>
              <w:t xml:space="preserve"> 211,929.20 </w:t>
            </w:r>
          </w:p>
        </w:tc>
        <w:tc>
          <w:tcPr>
            <w:tcW w:w="2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11"/>
                <w:kern w:val="0"/>
                <w:sz w:val="32"/>
                <w:szCs w:val="32"/>
                <w:vertAlign w:val="baseline"/>
                <w:lang w:val="en-US" w:eastAsia="zh-CN" w:bidi="zh-CN"/>
              </w:rPr>
            </w:pPr>
            <w:r>
              <w:rPr>
                <w:rFonts w:hint="default" w:ascii="Times New Roman" w:hAnsi="Times New Roman" w:eastAsia="方正仿宋简体" w:cs="Times New Roman"/>
                <w:b/>
                <w:bCs/>
                <w:spacing w:val="-11"/>
                <w:kern w:val="0"/>
                <w:sz w:val="32"/>
                <w:szCs w:val="32"/>
                <w:vertAlign w:val="baseline"/>
                <w:lang w:val="en-US" w:eastAsia="zh-CN" w:bidi="zh-CN"/>
              </w:rPr>
              <w:t>94.93%</w:t>
            </w:r>
          </w:p>
        </w:tc>
        <w:tc>
          <w:tcPr>
            <w:tcW w:w="163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6"/>
                <w:kern w:val="0"/>
                <w:sz w:val="32"/>
                <w:szCs w:val="32"/>
                <w:vertAlign w:val="baseline"/>
                <w:lang w:val="en-US" w:eastAsia="zh-CN" w:bidi="zh-CN"/>
              </w:rPr>
            </w:pPr>
            <w:r>
              <w:rPr>
                <w:rFonts w:hint="default" w:ascii="Times New Roman" w:hAnsi="Times New Roman" w:eastAsia="方正仿宋简体" w:cs="Times New Roman"/>
                <w:b/>
                <w:bCs/>
                <w:spacing w:val="-6"/>
                <w:kern w:val="0"/>
                <w:sz w:val="32"/>
                <w:szCs w:val="32"/>
                <w:vertAlign w:val="baseline"/>
                <w:lang w:val="en-US" w:eastAsia="zh-CN" w:bidi="zh-CN"/>
              </w:rPr>
              <w:t xml:space="preserve">148,908.00 </w:t>
            </w:r>
          </w:p>
        </w:tc>
      </w:tr>
      <w:tr>
        <w:tblPrEx>
          <w:tblCellMar>
            <w:top w:w="0" w:type="dxa"/>
            <w:left w:w="108" w:type="dxa"/>
            <w:bottom w:w="0" w:type="dxa"/>
            <w:right w:w="108" w:type="dxa"/>
          </w:tblCellMar>
        </w:tblPrEx>
        <w:trPr>
          <w:trHeight w:val="600" w:hRule="atLeast"/>
        </w:trPr>
        <w:tc>
          <w:tcPr>
            <w:tcW w:w="1905"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所有者权益</w:t>
            </w:r>
          </w:p>
        </w:tc>
        <w:tc>
          <w:tcPr>
            <w:tcW w:w="165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11"/>
                <w:kern w:val="0"/>
                <w:sz w:val="32"/>
                <w:szCs w:val="32"/>
                <w:vertAlign w:val="baseline"/>
                <w:lang w:val="en-US" w:eastAsia="zh-CN" w:bidi="zh-CN"/>
              </w:rPr>
            </w:pPr>
            <w:r>
              <w:rPr>
                <w:rFonts w:hint="default" w:ascii="Times New Roman" w:hAnsi="Times New Roman" w:eastAsia="方正仿宋简体" w:cs="Times New Roman"/>
                <w:b/>
                <w:bCs/>
                <w:spacing w:val="-11"/>
                <w:kern w:val="0"/>
                <w:sz w:val="32"/>
                <w:szCs w:val="32"/>
                <w:vertAlign w:val="baseline"/>
                <w:lang w:val="en-US" w:eastAsia="zh-CN" w:bidi="zh-CN"/>
              </w:rPr>
              <w:t xml:space="preserve"> 89,365.00 </w:t>
            </w:r>
          </w:p>
        </w:tc>
        <w:tc>
          <w:tcPr>
            <w:tcW w:w="203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11"/>
                <w:kern w:val="0"/>
                <w:sz w:val="32"/>
                <w:szCs w:val="32"/>
                <w:vertAlign w:val="baseline"/>
                <w:lang w:val="en-US" w:eastAsia="zh-CN" w:bidi="zh-CN"/>
              </w:rPr>
            </w:pPr>
            <w:r>
              <w:rPr>
                <w:rFonts w:hint="default" w:ascii="Times New Roman" w:hAnsi="Times New Roman" w:eastAsia="方正仿宋简体" w:cs="Times New Roman"/>
                <w:b/>
                <w:bCs/>
                <w:spacing w:val="-11"/>
                <w:kern w:val="0"/>
                <w:sz w:val="32"/>
                <w:szCs w:val="32"/>
                <w:vertAlign w:val="baseline"/>
                <w:lang w:val="en-US" w:eastAsia="zh-CN" w:bidi="zh-CN"/>
              </w:rPr>
              <w:t xml:space="preserve"> 91,763.49 </w:t>
            </w:r>
          </w:p>
        </w:tc>
        <w:tc>
          <w:tcPr>
            <w:tcW w:w="220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11"/>
                <w:kern w:val="0"/>
                <w:sz w:val="32"/>
                <w:szCs w:val="32"/>
                <w:vertAlign w:val="baseline"/>
                <w:lang w:val="en-US" w:eastAsia="zh-CN" w:bidi="zh-CN"/>
              </w:rPr>
            </w:pPr>
            <w:r>
              <w:rPr>
                <w:rFonts w:hint="default" w:ascii="Times New Roman" w:hAnsi="Times New Roman" w:eastAsia="方正仿宋简体" w:cs="Times New Roman"/>
                <w:b/>
                <w:bCs/>
                <w:spacing w:val="-11"/>
                <w:kern w:val="0"/>
                <w:sz w:val="32"/>
                <w:szCs w:val="32"/>
                <w:vertAlign w:val="baseline"/>
                <w:lang w:val="en-US" w:eastAsia="zh-CN" w:bidi="zh-CN"/>
              </w:rPr>
              <w:t>97.39%</w:t>
            </w:r>
          </w:p>
        </w:tc>
        <w:tc>
          <w:tcPr>
            <w:tcW w:w="1635"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spacing w:val="-6"/>
                <w:kern w:val="0"/>
                <w:sz w:val="32"/>
                <w:szCs w:val="32"/>
                <w:vertAlign w:val="baseline"/>
                <w:lang w:val="en-US" w:eastAsia="zh-CN" w:bidi="zh-CN"/>
              </w:rPr>
            </w:pPr>
            <w:r>
              <w:rPr>
                <w:rFonts w:hint="default" w:ascii="Times New Roman" w:hAnsi="Times New Roman" w:eastAsia="方正仿宋简体" w:cs="Times New Roman"/>
                <w:b/>
                <w:bCs/>
                <w:spacing w:val="-6"/>
                <w:kern w:val="0"/>
                <w:sz w:val="32"/>
                <w:szCs w:val="32"/>
                <w:vertAlign w:val="baseline"/>
                <w:lang w:val="en-US" w:eastAsia="zh-CN" w:bidi="zh-CN"/>
              </w:rPr>
              <w:t xml:space="preserve"> 88,883.00 </w:t>
            </w:r>
          </w:p>
        </w:tc>
      </w:tr>
    </w:tbl>
    <w:p>
      <w:pPr>
        <w:keepNext w:val="0"/>
        <w:keepLines w:val="0"/>
        <w:pageBreakBefore w:val="0"/>
        <w:kinsoku/>
        <w:wordWrap/>
        <w:overflowPunct/>
        <w:topLinePunct w:val="0"/>
        <w:bidi w:val="0"/>
        <w:adjustRightInd/>
        <w:snapToGrid w:val="0"/>
        <w:spacing w:line="60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三、财务预算执行情况</w:t>
      </w:r>
    </w:p>
    <w:p>
      <w:pPr>
        <w:keepNext w:val="0"/>
        <w:keepLines w:val="0"/>
        <w:pageBreakBefore w:val="0"/>
        <w:kinsoku/>
        <w:wordWrap/>
        <w:overflowPunct/>
        <w:topLinePunct w:val="0"/>
        <w:bidi w:val="0"/>
        <w:adjustRightInd/>
        <w:spacing w:line="600" w:lineRule="exact"/>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2023年上半年</w:t>
      </w:r>
      <w:r>
        <w:rPr>
          <w:rFonts w:hint="default" w:ascii="Times New Roman" w:hAnsi="Times New Roman" w:eastAsia="方正仿宋简体" w:cs="Times New Roman"/>
          <w:b/>
          <w:bCs/>
          <w:sz w:val="32"/>
          <w:szCs w:val="32"/>
        </w:rPr>
        <w:t>累计实现营业收入</w:t>
      </w:r>
      <w:r>
        <w:rPr>
          <w:rFonts w:hint="default" w:ascii="Times New Roman" w:hAnsi="Times New Roman" w:eastAsia="方正仿宋简体" w:cs="Times New Roman"/>
          <w:b/>
          <w:bCs/>
          <w:sz w:val="32"/>
          <w:szCs w:val="32"/>
          <w:lang w:val="en-US" w:eastAsia="zh-CN"/>
        </w:rPr>
        <w:t>87</w:t>
      </w:r>
      <w:r>
        <w:rPr>
          <w:rFonts w:hint="default" w:ascii="Times New Roman" w:hAnsi="Times New Roman" w:eastAsia="方正仿宋简体" w:cs="Times New Roman"/>
          <w:b/>
          <w:bCs/>
          <w:sz w:val="32"/>
          <w:szCs w:val="32"/>
        </w:rPr>
        <w:t>万元，完成全年预算95.35万元的</w:t>
      </w:r>
      <w:r>
        <w:rPr>
          <w:rFonts w:hint="default" w:ascii="Times New Roman" w:hAnsi="Times New Roman" w:eastAsia="方正仿宋简体" w:cs="Times New Roman"/>
          <w:b/>
          <w:bCs/>
          <w:sz w:val="32"/>
          <w:szCs w:val="32"/>
          <w:lang w:val="en-US" w:eastAsia="zh-CN"/>
        </w:rPr>
        <w:t>91.24</w:t>
      </w:r>
      <w:r>
        <w:rPr>
          <w:rFonts w:hint="default" w:ascii="Times New Roman" w:hAnsi="Times New Roman" w:eastAsia="方正仿宋简体" w:cs="Times New Roman"/>
          <w:b/>
          <w:bCs/>
          <w:sz w:val="32"/>
          <w:szCs w:val="32"/>
        </w:rPr>
        <w:t>%，较好</w:t>
      </w:r>
      <w:r>
        <w:rPr>
          <w:rFonts w:hint="default" w:ascii="Times New Roman" w:hAnsi="Times New Roman" w:eastAsia="方正仿宋简体" w:cs="Times New Roman"/>
          <w:b/>
          <w:bCs/>
          <w:sz w:val="32"/>
          <w:szCs w:val="32"/>
          <w:lang w:eastAsia="zh-CN"/>
        </w:rPr>
        <w:t>地</w:t>
      </w:r>
      <w:r>
        <w:rPr>
          <w:rFonts w:hint="default" w:ascii="Times New Roman" w:hAnsi="Times New Roman" w:eastAsia="方正仿宋简体" w:cs="Times New Roman"/>
          <w:b/>
          <w:bCs/>
          <w:sz w:val="32"/>
          <w:szCs w:val="32"/>
        </w:rPr>
        <w:t>完成了预算分解目标。累计实现利润总额-</w:t>
      </w:r>
      <w:r>
        <w:rPr>
          <w:rFonts w:hint="default" w:ascii="Times New Roman" w:hAnsi="Times New Roman" w:eastAsia="方正仿宋简体" w:cs="Times New Roman"/>
          <w:b/>
          <w:bCs/>
          <w:sz w:val="32"/>
          <w:szCs w:val="32"/>
          <w:lang w:val="en-US" w:eastAsia="zh-CN"/>
        </w:rPr>
        <w:t>779</w:t>
      </w:r>
      <w:r>
        <w:rPr>
          <w:rFonts w:hint="default" w:ascii="Times New Roman" w:hAnsi="Times New Roman" w:eastAsia="方正仿宋简体" w:cs="Times New Roman"/>
          <w:b/>
          <w:bCs/>
          <w:sz w:val="32"/>
          <w:szCs w:val="32"/>
        </w:rPr>
        <w:t>万元，较全年预算目标1618.68万元差额</w:t>
      </w:r>
      <w:r>
        <w:rPr>
          <w:rFonts w:hint="default" w:ascii="Times New Roman" w:hAnsi="Times New Roman" w:eastAsia="方正仿宋简体" w:cs="Times New Roman"/>
          <w:b/>
          <w:bCs/>
          <w:sz w:val="32"/>
          <w:szCs w:val="32"/>
          <w:lang w:val="en-US" w:eastAsia="zh-CN"/>
        </w:rPr>
        <w:t>2397.68</w:t>
      </w:r>
      <w:r>
        <w:rPr>
          <w:rFonts w:hint="default" w:ascii="Times New Roman" w:hAnsi="Times New Roman" w:eastAsia="方正仿宋简体" w:cs="Times New Roman"/>
          <w:b/>
          <w:bCs/>
          <w:sz w:val="32"/>
          <w:szCs w:val="32"/>
        </w:rPr>
        <w:t>万元，主要是合作开发的梁山龙城公馆项目的投资收益需要到年底才能确认投资收益，属时间性差异影响；</w:t>
      </w: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月底资产负债率</w:t>
      </w:r>
      <w:r>
        <w:rPr>
          <w:rFonts w:hint="default" w:ascii="Times New Roman" w:hAnsi="Times New Roman" w:eastAsia="方正仿宋简体" w:cs="Times New Roman"/>
          <w:b/>
          <w:bCs/>
          <w:sz w:val="32"/>
          <w:szCs w:val="32"/>
          <w:lang w:val="en-US" w:eastAsia="zh-CN"/>
        </w:rPr>
        <w:t>69.24</w:t>
      </w:r>
      <w:r>
        <w:rPr>
          <w:rFonts w:hint="default" w:ascii="Times New Roman" w:hAnsi="Times New Roman" w:eastAsia="方正仿宋简体" w:cs="Times New Roman"/>
          <w:b/>
          <w:bCs/>
          <w:sz w:val="32"/>
          <w:szCs w:val="32"/>
        </w:rPr>
        <w:t>%，比去年同期的</w:t>
      </w:r>
      <w:r>
        <w:rPr>
          <w:rFonts w:hint="default" w:ascii="Times New Roman" w:hAnsi="Times New Roman" w:eastAsia="方正仿宋简体" w:cs="Times New Roman"/>
          <w:b/>
          <w:bCs/>
          <w:sz w:val="32"/>
          <w:szCs w:val="32"/>
          <w:lang w:val="en-US" w:eastAsia="zh-CN"/>
        </w:rPr>
        <w:t>62.62</w:t>
      </w:r>
      <w:r>
        <w:rPr>
          <w:rFonts w:hint="default" w:ascii="Times New Roman" w:hAnsi="Times New Roman" w:eastAsia="方正仿宋简体" w:cs="Times New Roman"/>
          <w:b/>
          <w:bCs/>
          <w:sz w:val="32"/>
          <w:szCs w:val="32"/>
        </w:rPr>
        <w:t>%增加了6.</w:t>
      </w:r>
      <w:r>
        <w:rPr>
          <w:rFonts w:hint="default" w:ascii="Times New Roman" w:hAnsi="Times New Roman" w:eastAsia="方正仿宋简体" w:cs="Times New Roman"/>
          <w:b/>
          <w:bCs/>
          <w:sz w:val="32"/>
          <w:szCs w:val="32"/>
          <w:lang w:val="en-US" w:eastAsia="zh-CN"/>
        </w:rPr>
        <w:t>62</w:t>
      </w:r>
      <w:r>
        <w:rPr>
          <w:rFonts w:hint="default" w:ascii="Times New Roman" w:hAnsi="Times New Roman" w:eastAsia="方正仿宋简体" w:cs="Times New Roman"/>
          <w:b/>
          <w:bCs/>
          <w:sz w:val="32"/>
          <w:szCs w:val="32"/>
        </w:rPr>
        <w:t>个百分点</w:t>
      </w:r>
      <w:r>
        <w:rPr>
          <w:rFonts w:hint="default" w:ascii="Times New Roman" w:hAnsi="Times New Roman" w:eastAsia="方正仿宋简体" w:cs="Times New Roman"/>
          <w:b/>
          <w:bCs/>
          <w:sz w:val="32"/>
          <w:szCs w:val="32"/>
          <w:lang w:eastAsia="zh-CN"/>
        </w:rPr>
        <w:t>。</w:t>
      </w:r>
    </w:p>
    <w:p>
      <w:pPr>
        <w:keepNext w:val="0"/>
        <w:keepLines w:val="0"/>
        <w:pageBreakBefore w:val="0"/>
        <w:kinsoku/>
        <w:wordWrap/>
        <w:overflowPunct/>
        <w:topLinePunct w:val="0"/>
        <w:bidi w:val="0"/>
        <w:adjustRightInd/>
        <w:snapToGrid w:val="0"/>
        <w:spacing w:line="600" w:lineRule="exact"/>
        <w:ind w:left="420" w:leftChars="200"/>
        <w:rPr>
          <w:rFonts w:hint="default" w:ascii="Times New Roman" w:hAnsi="Times New Roman" w:eastAsia="方正黑体简体" w:cs="Times New Roman"/>
          <w:b/>
          <w:bCs/>
          <w:sz w:val="32"/>
          <w:szCs w:val="32"/>
        </w:rPr>
      </w:pPr>
    </w:p>
    <w:p>
      <w:pPr>
        <w:keepNext w:val="0"/>
        <w:keepLines w:val="0"/>
        <w:pageBreakBefore w:val="0"/>
        <w:kinsoku/>
        <w:wordWrap/>
        <w:overflowPunct/>
        <w:topLinePunct w:val="0"/>
        <w:bidi w:val="0"/>
        <w:adjustRightInd/>
        <w:snapToGrid w:val="0"/>
        <w:spacing w:line="600" w:lineRule="exact"/>
        <w:ind w:left="420" w:leftChars="200"/>
        <w:rPr>
          <w:rFonts w:hint="default" w:ascii="Times New Roman" w:hAnsi="Times New Roman" w:eastAsia="方正黑体简体" w:cs="Times New Roman"/>
          <w:b/>
          <w:bCs/>
          <w:sz w:val="32"/>
          <w:szCs w:val="32"/>
        </w:rPr>
      </w:pPr>
    </w:p>
    <w:p>
      <w:pPr>
        <w:keepNext w:val="0"/>
        <w:keepLines w:val="0"/>
        <w:pageBreakBefore w:val="0"/>
        <w:kinsoku/>
        <w:wordWrap/>
        <w:overflowPunct/>
        <w:topLinePunct w:val="0"/>
        <w:bidi w:val="0"/>
        <w:adjustRightInd/>
        <w:snapToGrid w:val="0"/>
        <w:spacing w:line="600" w:lineRule="exact"/>
        <w:ind w:left="420" w:leftChars="200"/>
        <w:rPr>
          <w:rFonts w:hint="default" w:ascii="Times New Roman" w:hAnsi="Times New Roman" w:eastAsia="方正黑体简体" w:cs="Times New Roman"/>
          <w:b/>
          <w:bCs/>
          <w:sz w:val="32"/>
          <w:szCs w:val="32"/>
        </w:rPr>
      </w:pPr>
    </w:p>
    <w:sectPr>
      <w:footerReference r:id="rId3" w:type="default"/>
      <w:pgSz w:w="11906" w:h="16838"/>
      <w:pgMar w:top="2098" w:right="1474" w:bottom="1587"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MmY4YTczNzBiOTI0YmViYjA3ZDFiYTIwNDUwYTEifQ=="/>
  </w:docVars>
  <w:rsids>
    <w:rsidRoot w:val="28E8704B"/>
    <w:rsid w:val="00023E53"/>
    <w:rsid w:val="00064C10"/>
    <w:rsid w:val="000B768B"/>
    <w:rsid w:val="000F4906"/>
    <w:rsid w:val="001048D2"/>
    <w:rsid w:val="001225CF"/>
    <w:rsid w:val="0016636E"/>
    <w:rsid w:val="00173818"/>
    <w:rsid w:val="001E70D3"/>
    <w:rsid w:val="001F0930"/>
    <w:rsid w:val="002659B0"/>
    <w:rsid w:val="0027474F"/>
    <w:rsid w:val="002B6071"/>
    <w:rsid w:val="002F0D05"/>
    <w:rsid w:val="0033664A"/>
    <w:rsid w:val="00387CC5"/>
    <w:rsid w:val="003A2581"/>
    <w:rsid w:val="003B2746"/>
    <w:rsid w:val="003C0776"/>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56D2F"/>
    <w:rsid w:val="009A5685"/>
    <w:rsid w:val="009D48DC"/>
    <w:rsid w:val="009E5784"/>
    <w:rsid w:val="00A45B31"/>
    <w:rsid w:val="00A87960"/>
    <w:rsid w:val="00B47D29"/>
    <w:rsid w:val="00B72AA9"/>
    <w:rsid w:val="00BA5853"/>
    <w:rsid w:val="00C32AF0"/>
    <w:rsid w:val="00C34F1A"/>
    <w:rsid w:val="00C471A1"/>
    <w:rsid w:val="00C60935"/>
    <w:rsid w:val="00C65F09"/>
    <w:rsid w:val="00D153C1"/>
    <w:rsid w:val="00D2501B"/>
    <w:rsid w:val="00D33D8F"/>
    <w:rsid w:val="00D34D61"/>
    <w:rsid w:val="00D43CE6"/>
    <w:rsid w:val="00DA289F"/>
    <w:rsid w:val="00DB13BB"/>
    <w:rsid w:val="00E01818"/>
    <w:rsid w:val="00E0765F"/>
    <w:rsid w:val="00E25793"/>
    <w:rsid w:val="00E60C18"/>
    <w:rsid w:val="00E6208D"/>
    <w:rsid w:val="00EC0809"/>
    <w:rsid w:val="00F53553"/>
    <w:rsid w:val="00FC1149"/>
    <w:rsid w:val="04C07E5F"/>
    <w:rsid w:val="098E2CD5"/>
    <w:rsid w:val="0CB03BDE"/>
    <w:rsid w:val="16C25649"/>
    <w:rsid w:val="17463BEB"/>
    <w:rsid w:val="19560A59"/>
    <w:rsid w:val="1C496371"/>
    <w:rsid w:val="1F0F013F"/>
    <w:rsid w:val="21785B44"/>
    <w:rsid w:val="25486BE3"/>
    <w:rsid w:val="26A93DBD"/>
    <w:rsid w:val="27F03E2A"/>
    <w:rsid w:val="28E8704B"/>
    <w:rsid w:val="290C75C1"/>
    <w:rsid w:val="29D47C5C"/>
    <w:rsid w:val="2A4822AF"/>
    <w:rsid w:val="2E8D617B"/>
    <w:rsid w:val="302C2C18"/>
    <w:rsid w:val="32777821"/>
    <w:rsid w:val="39AE61CA"/>
    <w:rsid w:val="3D910776"/>
    <w:rsid w:val="3EE126D3"/>
    <w:rsid w:val="419C0824"/>
    <w:rsid w:val="44244964"/>
    <w:rsid w:val="46511F71"/>
    <w:rsid w:val="478A258A"/>
    <w:rsid w:val="49D5276A"/>
    <w:rsid w:val="4AB9328C"/>
    <w:rsid w:val="4E903936"/>
    <w:rsid w:val="52DF6C8B"/>
    <w:rsid w:val="536B2CB8"/>
    <w:rsid w:val="57404164"/>
    <w:rsid w:val="575A0F80"/>
    <w:rsid w:val="576B5048"/>
    <w:rsid w:val="59A9160F"/>
    <w:rsid w:val="59B211B2"/>
    <w:rsid w:val="5AD277FB"/>
    <w:rsid w:val="5E145AF2"/>
    <w:rsid w:val="5F412942"/>
    <w:rsid w:val="5FA47421"/>
    <w:rsid w:val="60785E58"/>
    <w:rsid w:val="66EC3CFC"/>
    <w:rsid w:val="693516CA"/>
    <w:rsid w:val="693A6297"/>
    <w:rsid w:val="6A5519A2"/>
    <w:rsid w:val="6C305B70"/>
    <w:rsid w:val="6CDE381E"/>
    <w:rsid w:val="6D8C75E7"/>
    <w:rsid w:val="710941E7"/>
    <w:rsid w:val="75D26FF0"/>
    <w:rsid w:val="786C2299"/>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 w:type="paragraph" w:styleId="4">
    <w:name w:val="Balloon Text"/>
    <w:basedOn w:val="1"/>
    <w:link w:val="11"/>
    <w:semiHidden/>
    <w:unhideWhenUsed/>
    <w:qFormat/>
    <w:uiPriority w:val="0"/>
    <w:rPr>
      <w:sz w:val="18"/>
      <w:szCs w:val="18"/>
    </w:rPr>
  </w:style>
  <w:style w:type="paragraph" w:styleId="5">
    <w:name w:val="footer"/>
    <w:basedOn w:val="1"/>
    <w:link w:val="10"/>
    <w:qFormat/>
    <w:uiPriority w:val="0"/>
    <w:pPr>
      <w:tabs>
        <w:tab w:val="center" w:pos="4153"/>
        <w:tab w:val="right" w:pos="8306"/>
      </w:tabs>
      <w:snapToGrid w:val="0"/>
      <w:jc w:val="left"/>
    </w:pPr>
    <w:rPr>
      <w:sz w:val="18"/>
      <w:szCs w:val="18"/>
    </w:rPr>
  </w:style>
  <w:style w:type="paragraph" w:styleId="6">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0"/>
    <w:rPr>
      <w:rFonts w:asciiTheme="minorHAnsi" w:hAnsiTheme="minorHAnsi" w:eastAsiaTheme="minorEastAsia" w:cstheme="minorBidi"/>
      <w:kern w:val="2"/>
      <w:sz w:val="18"/>
      <w:szCs w:val="18"/>
    </w:rPr>
  </w:style>
  <w:style w:type="character" w:customStyle="1" w:styleId="10">
    <w:name w:val="页脚 Char"/>
    <w:basedOn w:val="8"/>
    <w:link w:val="5"/>
    <w:qFormat/>
    <w:uiPriority w:val="0"/>
    <w:rPr>
      <w:rFonts w:asciiTheme="minorHAnsi" w:hAnsiTheme="minorHAnsi" w:eastAsiaTheme="minorEastAsia" w:cstheme="minorBidi"/>
      <w:kern w:val="2"/>
      <w:sz w:val="18"/>
      <w:szCs w:val="18"/>
    </w:rPr>
  </w:style>
  <w:style w:type="character" w:customStyle="1" w:styleId="11">
    <w:name w:val="批注框文本 Char"/>
    <w:basedOn w:val="8"/>
    <w:link w:val="4"/>
    <w:semiHidden/>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1007</Words>
  <Characters>1264</Characters>
  <Lines>10</Lines>
  <Paragraphs>2</Paragraphs>
  <TotalTime>3</TotalTime>
  <ScaleCrop>false</ScaleCrop>
  <LinksUpToDate>false</LinksUpToDate>
  <CharactersWithSpaces>1345</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2023-08-31T08:18:15Z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76B615F0DC6C403FB21CC72C2AAD7009_13</vt:lpwstr>
  </property>
  <property fmtid="{D5CDD505-2E9C-101B-9397-08002B2CF9AE}" pid="4" name="commondata">
    <vt:lpwstr>eyJoZGlkIjoiMzIxYmMwMDJkYjZiMmFlYzdhY2YzYTliOWFhN2UxMzIifQ==</vt:lpwstr>
  </property>
</Properties>
</file>