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autoSpaceDE w:val="0"/>
        <w:autoSpaceDN w:val="0"/>
        <w:spacing w:line="700" w:lineRule="exact"/>
        <w:jc w:val="center"/>
        <w:rPr>
          <w:rFonts w:hint="default" w:ascii="Times New Roman" w:hAnsi="Times New Roman" w:eastAsia="方正小标宋简体" w:cs="Times New Roman"/>
          <w:b/>
          <w:bCs/>
          <w:kern w:val="0"/>
          <w:sz w:val="44"/>
          <w:szCs w:val="44"/>
          <w:lang w:val="zh-CN" w:bidi="zh-CN"/>
        </w:rPr>
      </w:pPr>
      <w:r>
        <w:rPr>
          <w:rFonts w:hint="default" w:ascii="Times New Roman" w:hAnsi="Times New Roman" w:eastAsia="方正小标宋简体" w:cs="Times New Roman"/>
          <w:b/>
          <w:bCs/>
          <w:kern w:val="0"/>
          <w:sz w:val="44"/>
          <w:szCs w:val="44"/>
          <w:lang w:val="zh-CN" w:bidi="zh-CN"/>
        </w:rPr>
        <w:t>济宁公用惠民瑞马置业有限公司</w:t>
      </w:r>
    </w:p>
    <w:p>
      <w:pPr>
        <w:pStyle w:val="3"/>
        <w:autoSpaceDE w:val="0"/>
        <w:autoSpaceDN w:val="0"/>
        <w:spacing w:line="700" w:lineRule="exact"/>
        <w:jc w:val="center"/>
        <w:rPr>
          <w:rFonts w:hint="default" w:ascii="Times New Roman" w:hAnsi="Times New Roman" w:eastAsia="方正小标宋简体" w:cs="Times New Roman"/>
          <w:b/>
          <w:bCs/>
          <w:kern w:val="0"/>
          <w:sz w:val="44"/>
          <w:szCs w:val="44"/>
          <w:lang w:val="zh-CN" w:bidi="zh-CN"/>
        </w:rPr>
      </w:pPr>
      <w:r>
        <w:rPr>
          <w:rFonts w:hint="default" w:ascii="Times New Roman" w:hAnsi="Times New Roman" w:eastAsia="方正小标宋简体" w:cs="Times New Roman"/>
          <w:b/>
          <w:bCs/>
          <w:kern w:val="0"/>
          <w:sz w:val="44"/>
          <w:szCs w:val="44"/>
          <w:lang w:val="zh-CN" w:bidi="zh-CN"/>
        </w:rPr>
        <w:t>2023年</w:t>
      </w:r>
      <w:r>
        <w:rPr>
          <w:rFonts w:hint="default" w:ascii="Times New Roman" w:hAnsi="Times New Roman" w:eastAsia="方正小标宋简体" w:cs="Times New Roman"/>
          <w:b/>
          <w:bCs/>
          <w:kern w:val="0"/>
          <w:sz w:val="44"/>
          <w:szCs w:val="44"/>
          <w:lang w:val="zh-CN" w:eastAsia="zh-CN" w:bidi="zh-CN"/>
        </w:rPr>
        <w:t>中期</w:t>
      </w:r>
      <w:r>
        <w:rPr>
          <w:rFonts w:hint="default" w:ascii="Times New Roman" w:hAnsi="Times New Roman" w:eastAsia="方正小标宋简体" w:cs="Times New Roman"/>
          <w:b/>
          <w:bCs/>
          <w:kern w:val="0"/>
          <w:sz w:val="44"/>
          <w:szCs w:val="44"/>
          <w:lang w:val="zh-CN" w:bidi="zh-CN"/>
        </w:rPr>
        <w:t>财务等重大信息公开</w:t>
      </w:r>
    </w:p>
    <w:p>
      <w:pPr>
        <w:spacing w:line="600" w:lineRule="exact"/>
        <w:rPr>
          <w:rFonts w:ascii="Times New Roman" w:hAnsi="Times New Roman" w:eastAsia="方正小标宋简体" w:cs="Times New Roman"/>
          <w:b/>
          <w:bCs/>
          <w:sz w:val="32"/>
          <w:szCs w:val="32"/>
        </w:rPr>
      </w:pP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ind w:firstLine="643" w:firstLineChars="200"/>
        <w:jc w:val="both"/>
        <w:textAlignment w:val="auto"/>
        <w:rPr>
          <w:rFonts w:hint="eastAsia" w:ascii="方正黑体简体" w:hAnsi="方正黑体简体" w:eastAsia="方正黑体简体" w:cs="方正黑体简体"/>
          <w:b/>
          <w:bCs/>
          <w:kern w:val="0"/>
          <w:lang w:val="en-US" w:eastAsia="zh-CN" w:bidi="zh-CN"/>
        </w:rPr>
      </w:pPr>
      <w:r>
        <w:rPr>
          <w:rFonts w:hint="eastAsia" w:ascii="方正黑体简体" w:hAnsi="方正黑体简体" w:eastAsia="方正黑体简体" w:cs="方正黑体简体"/>
          <w:b/>
          <w:bCs/>
          <w:kern w:val="0"/>
          <w:lang w:val="en-US" w:eastAsia="zh-CN" w:bidi="zh-CN"/>
        </w:rPr>
        <w:t xml:space="preserve">一、公司基本情况 </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方正楷体简体" w:hAnsi="方正楷体简体" w:eastAsia="方正楷体简体" w:cs="方正楷体简体"/>
          <w:b/>
          <w:bCs/>
          <w:kern w:val="0"/>
          <w:lang w:val="en-US" w:bidi="zh-CN"/>
        </w:rPr>
      </w:pPr>
      <w:r>
        <w:rPr>
          <w:rFonts w:hint="eastAsia" w:ascii="方正楷体简体" w:hAnsi="方正楷体简体" w:eastAsia="方正楷体简体" w:cs="方正楷体简体"/>
          <w:b/>
          <w:bCs/>
          <w:kern w:val="0"/>
          <w:lang w:val="en-US" w:bidi="zh-CN"/>
        </w:rPr>
        <w:t>（一）企业基本信息</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仿宋简体" w:cs="Times New Roman"/>
          <w:b/>
          <w:kern w:val="0"/>
          <w:sz w:val="32"/>
          <w:szCs w:val="32"/>
          <w:lang w:val="en-US" w:eastAsia="zh-CN" w:bidi="zh-CN"/>
        </w:rPr>
      </w:pPr>
      <w:r>
        <w:rPr>
          <w:rFonts w:hint="eastAsia" w:ascii="Times New Roman" w:hAnsi="Times New Roman" w:eastAsia="方正仿宋简体" w:cs="Times New Roman"/>
          <w:b/>
          <w:kern w:val="0"/>
          <w:sz w:val="32"/>
          <w:szCs w:val="32"/>
          <w:lang w:val="en-US" w:eastAsia="zh-CN" w:bidi="zh-CN"/>
        </w:rPr>
        <w:t>1.企业名称：济宁公用惠民瑞马置业有限公司</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仿宋简体" w:cs="Times New Roman"/>
          <w:b/>
          <w:kern w:val="0"/>
          <w:sz w:val="32"/>
          <w:szCs w:val="32"/>
          <w:lang w:val="en-US" w:eastAsia="zh-CN" w:bidi="zh-CN"/>
        </w:rPr>
      </w:pPr>
      <w:r>
        <w:rPr>
          <w:rFonts w:hint="eastAsia" w:ascii="Times New Roman" w:hAnsi="Times New Roman" w:eastAsia="方正仿宋简体" w:cs="Times New Roman"/>
          <w:b/>
          <w:kern w:val="0"/>
          <w:sz w:val="32"/>
          <w:szCs w:val="32"/>
          <w:lang w:val="en-US" w:eastAsia="zh-CN" w:bidi="zh-CN"/>
        </w:rPr>
        <w:t>2.注册地址：济宁市兖州区鼓楼街道办事处中御桥北路东侧、文化东路北侧</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Times New Roman"/>
          <w:b/>
          <w:kern w:val="0"/>
          <w:sz w:val="32"/>
          <w:szCs w:val="32"/>
          <w:lang w:val="en-US" w:eastAsia="zh-CN" w:bidi="zh-CN"/>
        </w:rPr>
      </w:pPr>
      <w:r>
        <w:rPr>
          <w:rFonts w:hint="eastAsia" w:ascii="Times New Roman" w:hAnsi="Times New Roman" w:eastAsia="方正仿宋简体" w:cs="Times New Roman"/>
          <w:b/>
          <w:kern w:val="0"/>
          <w:sz w:val="32"/>
          <w:szCs w:val="32"/>
          <w:lang w:val="en-US" w:eastAsia="zh-CN" w:bidi="zh-CN"/>
        </w:rPr>
        <w:t>3.登记机关：济宁市兖州区行政审批服务局</w:t>
      </w:r>
    </w:p>
    <w:p>
      <w:pPr>
        <w:keepNext w:val="0"/>
        <w:keepLines w:val="0"/>
        <w:pageBreakBefore w:val="0"/>
        <w:widowControl w:val="0"/>
        <w:kinsoku/>
        <w:wordWrap/>
        <w:overflowPunct/>
        <w:topLinePunct w:val="0"/>
        <w:autoSpaceDE/>
        <w:autoSpaceDN/>
        <w:bidi w:val="0"/>
        <w:adjustRightInd/>
        <w:snapToGrid/>
        <w:spacing w:line="560" w:lineRule="exact"/>
        <w:ind w:left="2244" w:leftChars="304" w:hanging="1606" w:hangingChars="500"/>
        <w:textAlignment w:val="auto"/>
        <w:rPr>
          <w:rFonts w:hint="eastAsia" w:ascii="Times New Roman" w:hAnsi="Times New Roman" w:eastAsia="方正仿宋简体" w:cs="Times New Roman"/>
          <w:b/>
          <w:kern w:val="0"/>
          <w:sz w:val="32"/>
          <w:szCs w:val="32"/>
          <w:lang w:val="en-US" w:eastAsia="zh-CN" w:bidi="zh-CN"/>
        </w:rPr>
      </w:pPr>
      <w:r>
        <w:rPr>
          <w:rFonts w:hint="eastAsia" w:ascii="Times New Roman" w:hAnsi="Times New Roman" w:eastAsia="方正仿宋简体" w:cs="Times New Roman"/>
          <w:b/>
          <w:kern w:val="0"/>
          <w:sz w:val="32"/>
          <w:szCs w:val="32"/>
          <w:lang w:val="en-US" w:eastAsia="zh-CN" w:bidi="zh-CN"/>
        </w:rPr>
        <w:t>4.经营范围：</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Times New Roman" w:hAnsi="Times New Roman" w:eastAsia="方正仿宋简体" w:cs="Times New Roman"/>
          <w:b/>
          <w:kern w:val="0"/>
          <w:sz w:val="32"/>
          <w:szCs w:val="32"/>
          <w:lang w:val="en-US" w:eastAsia="zh-CN" w:bidi="zh-CN"/>
        </w:rPr>
      </w:pPr>
      <w:r>
        <w:rPr>
          <w:rFonts w:hint="eastAsia" w:ascii="Times New Roman" w:hAnsi="Times New Roman" w:eastAsia="方正仿宋简体" w:cs="Times New Roman"/>
          <w:b/>
          <w:kern w:val="0"/>
          <w:sz w:val="32"/>
          <w:szCs w:val="32"/>
          <w:lang w:val="en-US" w:eastAsia="zh-CN" w:bidi="zh-CN"/>
        </w:rPr>
        <w:t>房地产开发、销售、房屋租赁。（依法须经批准的项目，经相关部门批准后方可开展经营活动）</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仿宋简体" w:cs="Times New Roman"/>
          <w:b/>
          <w:kern w:val="0"/>
          <w:sz w:val="32"/>
          <w:szCs w:val="32"/>
          <w:lang w:val="en-US" w:eastAsia="zh-CN" w:bidi="zh-CN"/>
        </w:rPr>
      </w:pPr>
      <w:r>
        <w:rPr>
          <w:rFonts w:hint="eastAsia" w:ascii="Times New Roman" w:hAnsi="Times New Roman" w:eastAsia="方正仿宋简体" w:cs="Times New Roman"/>
          <w:b/>
          <w:kern w:val="0"/>
          <w:sz w:val="32"/>
          <w:szCs w:val="32"/>
          <w:lang w:val="en-US" w:eastAsia="zh-CN" w:bidi="zh-CN"/>
        </w:rPr>
        <w:t>5.企业类型：其他有限责任公司</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Times New Roman"/>
          <w:b/>
          <w:kern w:val="0"/>
          <w:sz w:val="32"/>
          <w:szCs w:val="32"/>
          <w:lang w:val="en-US" w:eastAsia="zh-CN" w:bidi="zh-CN"/>
        </w:rPr>
      </w:pPr>
      <w:r>
        <w:rPr>
          <w:rFonts w:hint="eastAsia" w:ascii="Times New Roman" w:hAnsi="Times New Roman" w:eastAsia="方正仿宋简体" w:cs="Times New Roman"/>
          <w:b/>
          <w:kern w:val="0"/>
          <w:sz w:val="32"/>
          <w:szCs w:val="32"/>
          <w:lang w:val="en-US" w:eastAsia="zh-CN" w:bidi="zh-CN"/>
        </w:rPr>
        <w:t>6.成立日期：2018-9-13</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方正楷体简体" w:hAnsi="方正楷体简体" w:eastAsia="方正楷体简体" w:cs="方正楷体简体"/>
          <w:b/>
          <w:bCs/>
          <w:kern w:val="0"/>
          <w:lang w:val="en-US" w:bidi="zh-CN"/>
        </w:rPr>
      </w:pPr>
      <w:r>
        <w:rPr>
          <w:rFonts w:hint="eastAsia" w:ascii="方正楷体简体" w:hAnsi="方正楷体简体" w:eastAsia="方正楷体简体" w:cs="方正楷体简体"/>
          <w:b/>
          <w:bCs/>
          <w:kern w:val="0"/>
          <w:lang w:val="en-US" w:bidi="zh-CN"/>
        </w:rPr>
        <w:t>（二）企业简介</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仿宋简体" w:cs="Times New Roman"/>
          <w:b/>
          <w:kern w:val="0"/>
          <w:sz w:val="32"/>
          <w:szCs w:val="32"/>
          <w:lang w:val="en-US" w:eastAsia="zh-CN" w:bidi="zh-CN"/>
        </w:rPr>
      </w:pPr>
      <w:r>
        <w:rPr>
          <w:rFonts w:ascii="Times New Roman" w:hAnsi="Times New Roman" w:eastAsia="方正仿宋简体" w:cs="Times New Roman"/>
          <w:b/>
          <w:kern w:val="0"/>
          <w:sz w:val="32"/>
          <w:szCs w:val="32"/>
          <w:lang w:val="en-US" w:eastAsia="zh-CN" w:bidi="zh-CN"/>
        </w:rPr>
        <w:t>济宁公用惠民瑞马置业有限公司成立于2018年9月，现为山东公用置业集团有限公司控股子公司济宁公用瑞马置业有限公司控股子公司（占股70%）。</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仿宋简体" w:cs="Times New Roman"/>
          <w:b/>
          <w:kern w:val="0"/>
          <w:sz w:val="32"/>
          <w:szCs w:val="32"/>
          <w:lang w:val="en-US" w:eastAsia="zh-CN" w:bidi="zh-CN"/>
        </w:rPr>
      </w:pPr>
      <w:r>
        <w:rPr>
          <w:rFonts w:ascii="Times New Roman" w:hAnsi="Times New Roman" w:eastAsia="方正仿宋简体" w:cs="Times New Roman"/>
          <w:b/>
          <w:kern w:val="0"/>
          <w:sz w:val="32"/>
          <w:szCs w:val="32"/>
          <w:lang w:val="en-US" w:eastAsia="zh-CN" w:bidi="zh-CN"/>
        </w:rPr>
        <w:t>公司自成立以来，按照市场化、专业化、规范化的管理模式，遵循“安全至上、服质量第一”的企业宗旨</w:t>
      </w:r>
      <w:r>
        <w:rPr>
          <w:rFonts w:hint="eastAsia" w:ascii="Times New Roman" w:hAnsi="Times New Roman" w:eastAsia="方正仿宋简体" w:cs="Times New Roman"/>
          <w:b/>
          <w:kern w:val="0"/>
          <w:sz w:val="32"/>
          <w:szCs w:val="32"/>
          <w:lang w:val="en-US" w:eastAsia="zh-CN" w:bidi="zh-CN"/>
        </w:rPr>
        <w:t>，</w:t>
      </w:r>
      <w:r>
        <w:rPr>
          <w:rFonts w:ascii="Times New Roman" w:hAnsi="Times New Roman" w:eastAsia="方正仿宋简体" w:cs="Times New Roman"/>
          <w:b/>
          <w:kern w:val="0"/>
          <w:sz w:val="32"/>
          <w:szCs w:val="32"/>
          <w:lang w:val="en-US" w:eastAsia="zh-CN" w:bidi="zh-CN"/>
        </w:rPr>
        <w:t>内部设置了综合部、成本部、财务部、设计部、采购部、营销部、项目部</w:t>
      </w:r>
      <w:r>
        <w:rPr>
          <w:rFonts w:hint="eastAsia" w:ascii="Times New Roman" w:hAnsi="Times New Roman" w:eastAsia="方正仿宋简体" w:cs="Times New Roman"/>
          <w:b/>
          <w:kern w:val="0"/>
          <w:sz w:val="32"/>
          <w:szCs w:val="32"/>
          <w:lang w:val="en-US" w:eastAsia="zh-CN" w:bidi="zh-CN"/>
        </w:rPr>
        <w:t>等</w:t>
      </w:r>
      <w:r>
        <w:rPr>
          <w:rFonts w:ascii="Times New Roman" w:hAnsi="Times New Roman" w:eastAsia="方正仿宋简体" w:cs="Times New Roman"/>
          <w:b/>
          <w:kern w:val="0"/>
          <w:sz w:val="32"/>
          <w:szCs w:val="32"/>
          <w:lang w:val="en-US" w:eastAsia="zh-CN" w:bidi="zh-CN"/>
        </w:rPr>
        <w:t>部门， 经营范围包括：房地产开发、销售、房屋租赁。（依法须经批准的项目，经相关部门批准后方可开展经营活动）。</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仿宋简体" w:cs="Times New Roman"/>
          <w:b/>
          <w:kern w:val="0"/>
          <w:sz w:val="32"/>
          <w:szCs w:val="32"/>
          <w:lang w:val="en-US" w:eastAsia="zh-CN" w:bidi="zh-CN"/>
        </w:rPr>
      </w:pPr>
      <w:r>
        <w:rPr>
          <w:rFonts w:ascii="Times New Roman" w:hAnsi="Times New Roman" w:eastAsia="方正仿宋简体" w:cs="Times New Roman"/>
          <w:b/>
          <w:kern w:val="0"/>
          <w:sz w:val="32"/>
          <w:szCs w:val="32"/>
          <w:lang w:val="en-US" w:eastAsia="zh-CN" w:bidi="zh-CN"/>
        </w:rPr>
        <w:t>我公司具有专业的房地产开发经营及项目管理人员，目前共负责开发建设济宁市兖州区肉联厂片区地块。</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eastAsia" w:ascii="方正楷体简体" w:hAnsi="方正楷体简体" w:eastAsia="方正楷体简体" w:cs="方正楷体简体"/>
          <w:b/>
          <w:bCs/>
          <w:kern w:val="0"/>
          <w:lang w:val="en-US" w:bidi="zh-CN"/>
        </w:rPr>
      </w:pPr>
      <w:r>
        <w:rPr>
          <w:rFonts w:hint="eastAsia" w:ascii="方正楷体简体" w:hAnsi="方正楷体简体" w:eastAsia="方正楷体简体" w:cs="方正楷体简体"/>
          <w:b/>
          <w:bCs/>
          <w:kern w:val="0"/>
          <w:lang w:val="en-US" w:bidi="zh-CN"/>
        </w:rPr>
        <w:t>（三）机构设置</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Times New Roman"/>
          <w:b/>
          <w:kern w:val="0"/>
          <w:sz w:val="32"/>
          <w:szCs w:val="32"/>
          <w:lang w:val="en-US" w:eastAsia="zh-CN" w:bidi="zh-CN"/>
        </w:rPr>
      </w:pPr>
      <w:r>
        <w:rPr>
          <w:rFonts w:hint="eastAsia" w:ascii="Times New Roman" w:hAnsi="Times New Roman" w:eastAsia="方正仿宋简体" w:cs="Times New Roman"/>
          <w:b/>
          <w:kern w:val="0"/>
          <w:sz w:val="32"/>
          <w:szCs w:val="32"/>
          <w:lang w:val="en-US" w:eastAsia="zh-CN" w:bidi="zh-CN"/>
        </w:rPr>
        <w:t>公司设执行董事1名，经理1名，副经理1名；设6个部室、1个项目部，分别为：财务部、成本部、营销部、成本部、采购部、综合部、世家项目部。</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ind w:firstLine="643" w:firstLineChars="200"/>
        <w:jc w:val="both"/>
        <w:textAlignment w:val="auto"/>
        <w:rPr>
          <w:rFonts w:hint="eastAsia" w:ascii="方正黑体简体" w:hAnsi="方正黑体简体" w:eastAsia="方正黑体简体" w:cs="方正黑体简体"/>
          <w:b/>
          <w:bCs/>
          <w:kern w:val="0"/>
          <w:lang w:val="en-US" w:eastAsia="zh-CN" w:bidi="zh-CN"/>
        </w:rPr>
      </w:pPr>
      <w:r>
        <w:rPr>
          <w:rFonts w:hint="eastAsia" w:ascii="方正黑体简体" w:hAnsi="方正黑体简体" w:eastAsia="方正黑体简体" w:cs="方正黑体简体"/>
          <w:b/>
          <w:bCs/>
          <w:kern w:val="0"/>
          <w:lang w:val="en-US" w:eastAsia="zh-CN" w:bidi="zh-CN"/>
        </w:rPr>
        <w:t>二、主要会计数据和财务指标</w:t>
      </w:r>
    </w:p>
    <w:tbl>
      <w:tblPr>
        <w:tblStyle w:val="7"/>
        <w:tblW w:w="9363" w:type="dxa"/>
        <w:jc w:val="center"/>
        <w:tblLayout w:type="fixed"/>
        <w:tblCellMar>
          <w:top w:w="0" w:type="dxa"/>
          <w:left w:w="108" w:type="dxa"/>
          <w:bottom w:w="0" w:type="dxa"/>
          <w:right w:w="108" w:type="dxa"/>
        </w:tblCellMar>
      </w:tblPr>
      <w:tblGrid>
        <w:gridCol w:w="1833"/>
        <w:gridCol w:w="1727"/>
        <w:gridCol w:w="1905"/>
        <w:gridCol w:w="2145"/>
        <w:gridCol w:w="1753"/>
      </w:tblGrid>
      <w:tr>
        <w:tblPrEx>
          <w:tblCellMar>
            <w:top w:w="0" w:type="dxa"/>
            <w:left w:w="108" w:type="dxa"/>
            <w:bottom w:w="0" w:type="dxa"/>
            <w:right w:w="108" w:type="dxa"/>
          </w:tblCellMar>
        </w:tblPrEx>
        <w:trPr>
          <w:trHeight w:val="615" w:hRule="atLeast"/>
          <w:jc w:val="center"/>
        </w:trPr>
        <w:tc>
          <w:tcPr>
            <w:tcW w:w="9363" w:type="dxa"/>
            <w:gridSpan w:val="5"/>
            <w:tcBorders>
              <w:top w:val="nil"/>
              <w:left w:val="nil"/>
              <w:bottom w:val="nil"/>
              <w:right w:val="nil"/>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方正楷体简体" w:hAnsi="方正楷体简体" w:eastAsia="方正楷体简体" w:cs="方正楷体简体"/>
                <w:b/>
                <w:bCs/>
                <w:kern w:val="0"/>
                <w:sz w:val="30"/>
                <w:szCs w:val="30"/>
                <w:lang w:val="en-US" w:eastAsia="zh-CN" w:bidi="zh-CN"/>
              </w:rPr>
              <w:t xml:space="preserve">                                                   单位：万元                      </w:t>
            </w:r>
          </w:p>
        </w:tc>
      </w:tr>
      <w:tr>
        <w:tblPrEx>
          <w:tblCellMar>
            <w:top w:w="0" w:type="dxa"/>
            <w:left w:w="108" w:type="dxa"/>
            <w:bottom w:w="0" w:type="dxa"/>
            <w:right w:w="108" w:type="dxa"/>
          </w:tblCellMar>
        </w:tblPrEx>
        <w:trPr>
          <w:trHeight w:val="600" w:hRule="atLeast"/>
          <w:jc w:val="center"/>
        </w:trPr>
        <w:tc>
          <w:tcPr>
            <w:tcW w:w="1833" w:type="dxa"/>
            <w:tcBorders>
              <w:top w:val="single" w:color="000000" w:sz="8" w:space="0"/>
              <w:left w:val="single" w:color="000000" w:sz="8"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spacing w:val="-11"/>
                <w:kern w:val="0"/>
                <w:sz w:val="32"/>
                <w:szCs w:val="32"/>
                <w:lang w:val="en-US" w:bidi="ar-SA"/>
              </w:rPr>
            </w:pPr>
            <w:r>
              <w:rPr>
                <w:rFonts w:hint="eastAsia" w:ascii="Times New Roman" w:hAnsi="Times New Roman" w:eastAsia="方正仿宋简体" w:cs="Times New Roman"/>
                <w:b/>
                <w:bCs/>
                <w:color w:val="000000"/>
                <w:spacing w:val="-11"/>
                <w:kern w:val="0"/>
                <w:sz w:val="32"/>
                <w:szCs w:val="32"/>
                <w:lang w:val="en-US" w:bidi="ar-SA"/>
              </w:rPr>
              <w:t>项</w:t>
            </w:r>
            <w:r>
              <w:rPr>
                <w:rFonts w:hint="eastAsia" w:ascii="Times New Roman" w:hAnsi="Times New Roman" w:eastAsia="方正仿宋简体" w:cs="Times New Roman"/>
                <w:b/>
                <w:bCs/>
                <w:color w:val="000000"/>
                <w:spacing w:val="-11"/>
                <w:kern w:val="0"/>
                <w:sz w:val="32"/>
                <w:szCs w:val="32"/>
                <w:lang w:val="en-US" w:eastAsia="zh-CN" w:bidi="ar-SA"/>
              </w:rPr>
              <w:t xml:space="preserve">  </w:t>
            </w:r>
            <w:r>
              <w:rPr>
                <w:rFonts w:hint="eastAsia" w:ascii="Times New Roman" w:hAnsi="Times New Roman" w:eastAsia="方正仿宋简体" w:cs="Times New Roman"/>
                <w:b/>
                <w:bCs/>
                <w:color w:val="000000"/>
                <w:spacing w:val="-11"/>
                <w:kern w:val="0"/>
                <w:sz w:val="32"/>
                <w:szCs w:val="32"/>
                <w:lang w:val="en-US" w:bidi="ar-SA"/>
              </w:rPr>
              <w:t>目</w:t>
            </w:r>
          </w:p>
        </w:tc>
        <w:tc>
          <w:tcPr>
            <w:tcW w:w="1727"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spacing w:val="-11"/>
                <w:kern w:val="0"/>
                <w:sz w:val="32"/>
                <w:szCs w:val="32"/>
                <w:lang w:val="en-US" w:bidi="ar-SA"/>
              </w:rPr>
            </w:pPr>
            <w:r>
              <w:rPr>
                <w:rFonts w:hint="eastAsia" w:ascii="Times New Roman" w:hAnsi="Times New Roman" w:eastAsia="方正仿宋简体" w:cs="Times New Roman"/>
                <w:b/>
                <w:bCs/>
                <w:color w:val="000000"/>
                <w:spacing w:val="-11"/>
                <w:kern w:val="0"/>
                <w:sz w:val="32"/>
                <w:szCs w:val="32"/>
                <w:lang w:val="en-US" w:bidi="ar-SA"/>
              </w:rPr>
              <w:t>本期金额</w:t>
            </w:r>
          </w:p>
        </w:tc>
        <w:tc>
          <w:tcPr>
            <w:tcW w:w="190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spacing w:val="-23"/>
                <w:kern w:val="0"/>
                <w:sz w:val="32"/>
                <w:szCs w:val="32"/>
                <w:lang w:val="en-US" w:bidi="ar-SA"/>
              </w:rPr>
            </w:pPr>
            <w:r>
              <w:rPr>
                <w:rFonts w:hint="eastAsia" w:ascii="Times New Roman" w:hAnsi="Times New Roman" w:eastAsia="方正仿宋简体" w:cs="Times New Roman"/>
                <w:b/>
                <w:bCs/>
                <w:color w:val="000000"/>
                <w:spacing w:val="-23"/>
                <w:kern w:val="0"/>
                <w:sz w:val="32"/>
                <w:szCs w:val="32"/>
                <w:lang w:val="en-US" w:bidi="ar-SA"/>
              </w:rPr>
              <w:t>年度预算目标</w:t>
            </w:r>
          </w:p>
        </w:tc>
        <w:tc>
          <w:tcPr>
            <w:tcW w:w="214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spacing w:val="-23"/>
                <w:kern w:val="0"/>
                <w:sz w:val="32"/>
                <w:szCs w:val="32"/>
                <w:lang w:val="en-US" w:bidi="ar-SA"/>
              </w:rPr>
            </w:pPr>
            <w:r>
              <w:rPr>
                <w:rFonts w:hint="eastAsia" w:ascii="Times New Roman" w:hAnsi="Times New Roman" w:eastAsia="方正仿宋简体" w:cs="Times New Roman"/>
                <w:b/>
                <w:bCs/>
                <w:color w:val="000000"/>
                <w:spacing w:val="-23"/>
                <w:kern w:val="0"/>
                <w:sz w:val="32"/>
                <w:szCs w:val="32"/>
                <w:lang w:val="en-US" w:bidi="ar-SA"/>
              </w:rPr>
              <w:t>预算完成情况</w:t>
            </w:r>
          </w:p>
        </w:tc>
        <w:tc>
          <w:tcPr>
            <w:tcW w:w="1753" w:type="dxa"/>
            <w:tcBorders>
              <w:top w:val="single" w:color="000000" w:sz="8" w:space="0"/>
              <w:left w:val="single" w:color="000000" w:sz="4" w:space="0"/>
              <w:bottom w:val="single" w:color="000000" w:sz="4" w:space="0"/>
              <w:right w:val="single" w:color="000000" w:sz="8"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spacing w:val="-11"/>
                <w:kern w:val="0"/>
                <w:sz w:val="32"/>
                <w:szCs w:val="32"/>
                <w:lang w:val="en-US" w:bidi="ar-SA"/>
              </w:rPr>
            </w:pPr>
            <w:r>
              <w:rPr>
                <w:rFonts w:hint="eastAsia" w:ascii="Times New Roman" w:hAnsi="Times New Roman" w:eastAsia="方正仿宋简体" w:cs="Times New Roman"/>
                <w:b/>
                <w:bCs/>
                <w:color w:val="000000"/>
                <w:spacing w:val="-11"/>
                <w:kern w:val="0"/>
                <w:sz w:val="32"/>
                <w:szCs w:val="32"/>
                <w:lang w:val="en-US" w:bidi="ar-SA"/>
              </w:rPr>
              <w:t>上年同期</w:t>
            </w:r>
          </w:p>
        </w:tc>
      </w:tr>
      <w:tr>
        <w:tblPrEx>
          <w:tblCellMar>
            <w:top w:w="0" w:type="dxa"/>
            <w:left w:w="108" w:type="dxa"/>
            <w:bottom w:w="0" w:type="dxa"/>
            <w:right w:w="108" w:type="dxa"/>
          </w:tblCellMar>
        </w:tblPrEx>
        <w:trPr>
          <w:trHeight w:val="600" w:hRule="atLeast"/>
          <w:jc w:val="center"/>
        </w:trPr>
        <w:tc>
          <w:tcPr>
            <w:tcW w:w="183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bidi="ar-SA"/>
              </w:rPr>
              <w:t>营业总收入</w:t>
            </w:r>
          </w:p>
        </w:tc>
        <w:tc>
          <w:tcPr>
            <w:tcW w:w="1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eastAsia="zh-CN" w:bidi="ar-SA"/>
              </w:rPr>
              <w:t>20,338.00</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eastAsia="zh-CN" w:bidi="ar-SA"/>
              </w:rPr>
              <w:t>34,454.00</w:t>
            </w:r>
          </w:p>
        </w:tc>
        <w:tc>
          <w:tcPr>
            <w:tcW w:w="2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eastAsia="zh-CN" w:bidi="ar-SA"/>
              </w:rPr>
              <w:t>59.03%</w:t>
            </w:r>
          </w:p>
        </w:tc>
        <w:tc>
          <w:tcPr>
            <w:tcW w:w="1753"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eastAsia="zh-CN" w:bidi="ar-SA"/>
              </w:rPr>
              <w:t>50,781.00</w:t>
            </w:r>
          </w:p>
        </w:tc>
      </w:tr>
      <w:tr>
        <w:tblPrEx>
          <w:tblCellMar>
            <w:top w:w="0" w:type="dxa"/>
            <w:left w:w="108" w:type="dxa"/>
            <w:bottom w:w="0" w:type="dxa"/>
            <w:right w:w="108" w:type="dxa"/>
          </w:tblCellMar>
        </w:tblPrEx>
        <w:trPr>
          <w:trHeight w:val="600" w:hRule="atLeast"/>
          <w:jc w:val="center"/>
        </w:trPr>
        <w:tc>
          <w:tcPr>
            <w:tcW w:w="183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bidi="ar-SA"/>
              </w:rPr>
              <w:t>营业总成本</w:t>
            </w:r>
          </w:p>
        </w:tc>
        <w:tc>
          <w:tcPr>
            <w:tcW w:w="1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eastAsia="zh-CN" w:bidi="ar-SA"/>
              </w:rPr>
              <w:t>18,073.00</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eastAsia="zh-CN" w:bidi="ar-SA"/>
              </w:rPr>
              <w:t>30,412.00</w:t>
            </w:r>
          </w:p>
        </w:tc>
        <w:tc>
          <w:tcPr>
            <w:tcW w:w="2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eastAsia="zh-CN" w:bidi="ar-SA"/>
              </w:rPr>
              <w:t>59.43%</w:t>
            </w:r>
          </w:p>
        </w:tc>
        <w:tc>
          <w:tcPr>
            <w:tcW w:w="1753"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eastAsia="zh-CN" w:bidi="ar-SA"/>
              </w:rPr>
              <w:t>49,022.00</w:t>
            </w:r>
          </w:p>
        </w:tc>
      </w:tr>
      <w:tr>
        <w:tblPrEx>
          <w:tblCellMar>
            <w:top w:w="0" w:type="dxa"/>
            <w:left w:w="108" w:type="dxa"/>
            <w:bottom w:w="0" w:type="dxa"/>
            <w:right w:w="108" w:type="dxa"/>
          </w:tblCellMar>
        </w:tblPrEx>
        <w:trPr>
          <w:trHeight w:val="600" w:hRule="atLeast"/>
          <w:jc w:val="center"/>
        </w:trPr>
        <w:tc>
          <w:tcPr>
            <w:tcW w:w="183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bidi="ar-SA"/>
              </w:rPr>
              <w:t>利润总额</w:t>
            </w:r>
          </w:p>
        </w:tc>
        <w:tc>
          <w:tcPr>
            <w:tcW w:w="1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eastAsia="zh-CN" w:bidi="ar-SA"/>
              </w:rPr>
              <w:t>1,155.00</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eastAsia="zh-CN" w:bidi="ar-SA"/>
              </w:rPr>
              <w:t>4,042.00</w:t>
            </w:r>
          </w:p>
        </w:tc>
        <w:tc>
          <w:tcPr>
            <w:tcW w:w="2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eastAsia="zh-CN" w:bidi="ar-SA"/>
              </w:rPr>
              <w:t>28.57%</w:t>
            </w:r>
          </w:p>
        </w:tc>
        <w:tc>
          <w:tcPr>
            <w:tcW w:w="1753"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eastAsia="zh-CN" w:bidi="ar-SA"/>
              </w:rPr>
              <w:t>1,134.00</w:t>
            </w:r>
          </w:p>
        </w:tc>
      </w:tr>
      <w:tr>
        <w:tblPrEx>
          <w:tblCellMar>
            <w:top w:w="0" w:type="dxa"/>
            <w:left w:w="108" w:type="dxa"/>
            <w:bottom w:w="0" w:type="dxa"/>
            <w:right w:w="108" w:type="dxa"/>
          </w:tblCellMar>
        </w:tblPrEx>
        <w:trPr>
          <w:trHeight w:val="600" w:hRule="atLeast"/>
          <w:jc w:val="center"/>
        </w:trPr>
        <w:tc>
          <w:tcPr>
            <w:tcW w:w="183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bidi="ar-SA"/>
              </w:rPr>
              <w:t>净利润</w:t>
            </w:r>
          </w:p>
        </w:tc>
        <w:tc>
          <w:tcPr>
            <w:tcW w:w="1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eastAsia="zh-CN" w:bidi="ar-SA"/>
              </w:rPr>
              <w:t>865.00</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eastAsia="zh-CN" w:bidi="ar-SA"/>
              </w:rPr>
              <w:t>3,031.50</w:t>
            </w:r>
          </w:p>
        </w:tc>
        <w:tc>
          <w:tcPr>
            <w:tcW w:w="2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eastAsia="zh-CN" w:bidi="ar-SA"/>
              </w:rPr>
              <w:t>28.53%</w:t>
            </w:r>
          </w:p>
        </w:tc>
        <w:tc>
          <w:tcPr>
            <w:tcW w:w="1753"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eastAsia="zh-CN" w:bidi="ar-SA"/>
              </w:rPr>
              <w:t>1,134.00</w:t>
            </w:r>
          </w:p>
        </w:tc>
      </w:tr>
      <w:tr>
        <w:tblPrEx>
          <w:tblCellMar>
            <w:top w:w="0" w:type="dxa"/>
            <w:left w:w="108" w:type="dxa"/>
            <w:bottom w:w="0" w:type="dxa"/>
            <w:right w:w="108" w:type="dxa"/>
          </w:tblCellMar>
        </w:tblPrEx>
        <w:trPr>
          <w:trHeight w:val="600" w:hRule="atLeast"/>
          <w:jc w:val="center"/>
        </w:trPr>
        <w:tc>
          <w:tcPr>
            <w:tcW w:w="183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bidi="ar-SA"/>
              </w:rPr>
              <w:t>资产总额</w:t>
            </w:r>
          </w:p>
        </w:tc>
        <w:tc>
          <w:tcPr>
            <w:tcW w:w="1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eastAsia="zh-CN" w:bidi="ar-SA"/>
              </w:rPr>
              <w:t>89,178.00</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eastAsia="zh-CN" w:bidi="ar-SA"/>
              </w:rPr>
              <w:t>75,000.00</w:t>
            </w:r>
          </w:p>
        </w:tc>
        <w:tc>
          <w:tcPr>
            <w:tcW w:w="2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eastAsia="zh-CN" w:bidi="ar-SA"/>
              </w:rPr>
              <w:t>118.90%</w:t>
            </w:r>
          </w:p>
        </w:tc>
        <w:tc>
          <w:tcPr>
            <w:tcW w:w="1753"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eastAsia="zh-CN" w:bidi="ar-SA"/>
              </w:rPr>
              <w:t>96,742.00</w:t>
            </w:r>
          </w:p>
        </w:tc>
      </w:tr>
      <w:tr>
        <w:tblPrEx>
          <w:tblCellMar>
            <w:top w:w="0" w:type="dxa"/>
            <w:left w:w="108" w:type="dxa"/>
            <w:bottom w:w="0" w:type="dxa"/>
            <w:right w:w="108" w:type="dxa"/>
          </w:tblCellMar>
        </w:tblPrEx>
        <w:trPr>
          <w:trHeight w:val="600" w:hRule="atLeast"/>
          <w:jc w:val="center"/>
        </w:trPr>
        <w:tc>
          <w:tcPr>
            <w:tcW w:w="183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bidi="ar-SA"/>
              </w:rPr>
              <w:t>负债总额</w:t>
            </w:r>
          </w:p>
        </w:tc>
        <w:tc>
          <w:tcPr>
            <w:tcW w:w="1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eastAsia="zh-CN" w:bidi="ar-SA"/>
              </w:rPr>
              <w:t>87,776.00</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eastAsia="zh-CN" w:bidi="ar-SA"/>
              </w:rPr>
              <w:t>71,432.00</w:t>
            </w:r>
          </w:p>
        </w:tc>
        <w:tc>
          <w:tcPr>
            <w:tcW w:w="2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eastAsia="zh-CN" w:bidi="ar-SA"/>
              </w:rPr>
              <w:t>122.88%</w:t>
            </w:r>
          </w:p>
        </w:tc>
        <w:tc>
          <w:tcPr>
            <w:tcW w:w="1753"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eastAsia="zh-CN" w:bidi="ar-SA"/>
              </w:rPr>
              <w:t>97,179.00</w:t>
            </w:r>
          </w:p>
        </w:tc>
      </w:tr>
      <w:tr>
        <w:tblPrEx>
          <w:tblCellMar>
            <w:top w:w="0" w:type="dxa"/>
            <w:left w:w="108" w:type="dxa"/>
            <w:bottom w:w="0" w:type="dxa"/>
            <w:right w:w="108" w:type="dxa"/>
          </w:tblCellMar>
        </w:tblPrEx>
        <w:trPr>
          <w:trHeight w:val="600" w:hRule="atLeast"/>
          <w:jc w:val="center"/>
        </w:trPr>
        <w:tc>
          <w:tcPr>
            <w:tcW w:w="1833" w:type="dxa"/>
            <w:tcBorders>
              <w:top w:val="single" w:color="000000" w:sz="4" w:space="0"/>
              <w:left w:val="single" w:color="000000" w:sz="8" w:space="0"/>
              <w:bottom w:val="single" w:color="000000" w:sz="8"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bidi="ar-SA"/>
              </w:rPr>
              <w:t>所有者权益</w:t>
            </w:r>
          </w:p>
        </w:tc>
        <w:tc>
          <w:tcPr>
            <w:tcW w:w="1727"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eastAsia="zh-CN" w:bidi="ar-SA"/>
              </w:rPr>
              <w:t>1,402.00</w:t>
            </w:r>
          </w:p>
        </w:tc>
        <w:tc>
          <w:tcPr>
            <w:tcW w:w="190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eastAsia="zh-CN" w:bidi="ar-SA"/>
              </w:rPr>
              <w:t>3,568.00</w:t>
            </w:r>
          </w:p>
        </w:tc>
        <w:tc>
          <w:tcPr>
            <w:tcW w:w="214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eastAsia="zh-CN" w:bidi="ar-SA"/>
              </w:rPr>
              <w:t>39.29%</w:t>
            </w:r>
          </w:p>
        </w:tc>
        <w:tc>
          <w:tcPr>
            <w:tcW w:w="1753"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eastAsia" w:ascii="Times New Roman" w:hAnsi="Times New Roman" w:eastAsia="方正仿宋简体" w:cs="Times New Roman"/>
                <w:b/>
                <w:bCs/>
                <w:color w:val="000000"/>
                <w:kern w:val="0"/>
                <w:sz w:val="32"/>
                <w:szCs w:val="32"/>
                <w:lang w:val="en-US" w:eastAsia="zh-CN" w:bidi="ar-SA"/>
              </w:rPr>
              <w:t>-437.00</w:t>
            </w:r>
          </w:p>
        </w:tc>
      </w:tr>
    </w:tbl>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ind w:firstLine="643" w:firstLineChars="200"/>
        <w:jc w:val="both"/>
        <w:textAlignment w:val="auto"/>
        <w:rPr>
          <w:rFonts w:hint="eastAsia" w:ascii="方正黑体简体" w:hAnsi="方正黑体简体" w:eastAsia="方正黑体简体" w:cs="方正黑体简体"/>
          <w:b/>
          <w:bCs/>
          <w:kern w:val="0"/>
          <w:lang w:val="en-US" w:eastAsia="zh-CN" w:bidi="zh-CN"/>
        </w:rPr>
      </w:pPr>
      <w:r>
        <w:rPr>
          <w:rFonts w:hint="eastAsia" w:ascii="方正黑体简体" w:hAnsi="方正黑体简体" w:eastAsia="方正黑体简体" w:cs="方正黑体简体"/>
          <w:b/>
          <w:bCs/>
          <w:kern w:val="0"/>
          <w:lang w:val="en-US" w:eastAsia="zh-CN" w:bidi="zh-CN"/>
        </w:rPr>
        <w:t>三、财务预算执行情况</w:t>
      </w:r>
      <w:bookmarkStart w:id="0" w:name="_GoBack"/>
      <w:bookmarkEnd w:id="0"/>
    </w:p>
    <w:p>
      <w:pPr>
        <w:pStyle w:val="12"/>
        <w:spacing w:line="600" w:lineRule="exact"/>
        <w:ind w:firstLine="643" w:firstLineChars="200"/>
        <w:jc w:val="both"/>
        <w:rPr>
          <w:rFonts w:ascii="Times New Roman" w:hAnsi="Times New Roman" w:eastAsia="方正仿宋简体" w:cs="Times New Roman"/>
          <w:b/>
          <w:color w:val="auto"/>
          <w:kern w:val="0"/>
          <w:sz w:val="32"/>
          <w:szCs w:val="32"/>
          <w:lang w:val="en-US" w:eastAsia="zh-CN" w:bidi="zh-CN"/>
        </w:rPr>
      </w:pPr>
      <w:r>
        <w:rPr>
          <w:rFonts w:hint="eastAsia" w:ascii="Times New Roman" w:hAnsi="Times New Roman" w:eastAsia="方正仿宋简体" w:cs="Times New Roman"/>
          <w:b/>
          <w:color w:val="auto"/>
          <w:kern w:val="0"/>
          <w:sz w:val="32"/>
          <w:szCs w:val="32"/>
          <w:lang w:val="en-US" w:eastAsia="zh-CN" w:bidi="zh-CN"/>
        </w:rPr>
        <w:t>2023年上半年累计实现营业收入2.03亿元，完成全年预算3.45亿元的59.03%；累计实现利润总额1155万元，完成全年预算4042万元的28.57%；累计实现净利润865万元，完成全年预算3032万元的28.53%，主要是惠民世家二期计划在今年第三季度交房，收入及利润目前尚未实现结转。6月底资产负债率98.43%，比去年同期的100.45%下降了2.02个百分点。</w:t>
      </w:r>
    </w:p>
    <w:p>
      <w:pPr>
        <w:snapToGrid w:val="0"/>
        <w:spacing w:line="600" w:lineRule="exact"/>
        <w:ind w:left="420" w:leftChars="200"/>
        <w:rPr>
          <w:rFonts w:ascii="Times New Roman" w:hAnsi="Times New Roman" w:eastAsia="方正黑体简体" w:cs="Times New Roman"/>
          <w:b/>
          <w:bCs/>
          <w:sz w:val="32"/>
          <w:szCs w:val="32"/>
        </w:rPr>
      </w:pPr>
    </w:p>
    <w:p>
      <w:pPr>
        <w:snapToGrid w:val="0"/>
        <w:spacing w:line="600" w:lineRule="exact"/>
        <w:ind w:left="420" w:leftChars="200"/>
        <w:rPr>
          <w:rFonts w:ascii="Times New Roman" w:hAnsi="Times New Roman" w:eastAsia="方正黑体简体" w:cs="Times New Roman"/>
          <w:b/>
          <w:bCs/>
          <w:sz w:val="32"/>
          <w:szCs w:val="32"/>
        </w:rPr>
      </w:pPr>
    </w:p>
    <w:p>
      <w:pPr>
        <w:snapToGrid w:val="0"/>
        <w:spacing w:line="600" w:lineRule="exact"/>
        <w:ind w:left="420" w:leftChars="200"/>
        <w:rPr>
          <w:rFonts w:ascii="Times New Roman" w:hAnsi="Times New Roman" w:eastAsia="方正黑体简体" w:cs="Times New Roman"/>
          <w:b/>
          <w:bCs/>
          <w:sz w:val="32"/>
          <w:szCs w:val="32"/>
        </w:rPr>
      </w:pP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jMmY4YTczNzBiOTI0YmViYjA3ZDFiYTIwNDUwYTEifQ=="/>
  </w:docVars>
  <w:rsids>
    <w:rsidRoot w:val="28E8704B"/>
    <w:rsid w:val="00023E53"/>
    <w:rsid w:val="00064C10"/>
    <w:rsid w:val="000B768B"/>
    <w:rsid w:val="000F4906"/>
    <w:rsid w:val="001048D2"/>
    <w:rsid w:val="001225CF"/>
    <w:rsid w:val="0016636E"/>
    <w:rsid w:val="00173818"/>
    <w:rsid w:val="001E70D3"/>
    <w:rsid w:val="001F0930"/>
    <w:rsid w:val="00215555"/>
    <w:rsid w:val="002659B0"/>
    <w:rsid w:val="0027474F"/>
    <w:rsid w:val="002F0D05"/>
    <w:rsid w:val="0033664A"/>
    <w:rsid w:val="00387CC5"/>
    <w:rsid w:val="003A2581"/>
    <w:rsid w:val="003B2746"/>
    <w:rsid w:val="003C0776"/>
    <w:rsid w:val="003F200B"/>
    <w:rsid w:val="0040651C"/>
    <w:rsid w:val="004613E2"/>
    <w:rsid w:val="004B3BB3"/>
    <w:rsid w:val="004B51FE"/>
    <w:rsid w:val="004C19A7"/>
    <w:rsid w:val="004F2DF9"/>
    <w:rsid w:val="005304BC"/>
    <w:rsid w:val="00545BAB"/>
    <w:rsid w:val="00590DF4"/>
    <w:rsid w:val="005C6338"/>
    <w:rsid w:val="005D0127"/>
    <w:rsid w:val="00646654"/>
    <w:rsid w:val="00663457"/>
    <w:rsid w:val="006C787C"/>
    <w:rsid w:val="007534E3"/>
    <w:rsid w:val="007B1BD4"/>
    <w:rsid w:val="007D5E77"/>
    <w:rsid w:val="00814BA3"/>
    <w:rsid w:val="008152B0"/>
    <w:rsid w:val="00843F2E"/>
    <w:rsid w:val="00883DD5"/>
    <w:rsid w:val="008A4D0D"/>
    <w:rsid w:val="008A6F95"/>
    <w:rsid w:val="00956D2F"/>
    <w:rsid w:val="009A5685"/>
    <w:rsid w:val="009D48DC"/>
    <w:rsid w:val="009E5784"/>
    <w:rsid w:val="00A45B31"/>
    <w:rsid w:val="00A87960"/>
    <w:rsid w:val="00B47D29"/>
    <w:rsid w:val="00B72AA9"/>
    <w:rsid w:val="00BA5853"/>
    <w:rsid w:val="00C34F1A"/>
    <w:rsid w:val="00C471A1"/>
    <w:rsid w:val="00C60935"/>
    <w:rsid w:val="00C65F09"/>
    <w:rsid w:val="00CC0C67"/>
    <w:rsid w:val="00D153C1"/>
    <w:rsid w:val="00D2501B"/>
    <w:rsid w:val="00D33D8F"/>
    <w:rsid w:val="00D34D61"/>
    <w:rsid w:val="00D43CE6"/>
    <w:rsid w:val="00DA289F"/>
    <w:rsid w:val="00DB13BB"/>
    <w:rsid w:val="00E01818"/>
    <w:rsid w:val="00E0765F"/>
    <w:rsid w:val="00E25793"/>
    <w:rsid w:val="00E60C18"/>
    <w:rsid w:val="00E6208D"/>
    <w:rsid w:val="00EC0809"/>
    <w:rsid w:val="00F53553"/>
    <w:rsid w:val="00F64199"/>
    <w:rsid w:val="04C07E5F"/>
    <w:rsid w:val="06D01345"/>
    <w:rsid w:val="136257D5"/>
    <w:rsid w:val="19560A59"/>
    <w:rsid w:val="1A4B1F2C"/>
    <w:rsid w:val="1B6E1071"/>
    <w:rsid w:val="1C496371"/>
    <w:rsid w:val="1C8F2AE8"/>
    <w:rsid w:val="21785B44"/>
    <w:rsid w:val="25486BE3"/>
    <w:rsid w:val="26A93DBD"/>
    <w:rsid w:val="27F03E2A"/>
    <w:rsid w:val="28716ED4"/>
    <w:rsid w:val="28E8704B"/>
    <w:rsid w:val="290C75C1"/>
    <w:rsid w:val="29D47C5C"/>
    <w:rsid w:val="2A4822AF"/>
    <w:rsid w:val="2E8D617B"/>
    <w:rsid w:val="32777821"/>
    <w:rsid w:val="334308AF"/>
    <w:rsid w:val="39AE61CA"/>
    <w:rsid w:val="3D910776"/>
    <w:rsid w:val="3DF23407"/>
    <w:rsid w:val="3EA017DC"/>
    <w:rsid w:val="3FBD419A"/>
    <w:rsid w:val="419C0824"/>
    <w:rsid w:val="41B757E9"/>
    <w:rsid w:val="41DF55AC"/>
    <w:rsid w:val="431A65CE"/>
    <w:rsid w:val="432F1892"/>
    <w:rsid w:val="44244964"/>
    <w:rsid w:val="455B3491"/>
    <w:rsid w:val="47510149"/>
    <w:rsid w:val="4B8F5F5B"/>
    <w:rsid w:val="4DD370BB"/>
    <w:rsid w:val="4EEF2F58"/>
    <w:rsid w:val="52DF6C8B"/>
    <w:rsid w:val="536B2CB8"/>
    <w:rsid w:val="57404164"/>
    <w:rsid w:val="576B5048"/>
    <w:rsid w:val="5AD277FB"/>
    <w:rsid w:val="5BA2258D"/>
    <w:rsid w:val="5E145AF2"/>
    <w:rsid w:val="5F412942"/>
    <w:rsid w:val="5FA47421"/>
    <w:rsid w:val="60785E58"/>
    <w:rsid w:val="60B90048"/>
    <w:rsid w:val="61B5226F"/>
    <w:rsid w:val="66792F89"/>
    <w:rsid w:val="66EC3CFC"/>
    <w:rsid w:val="6A5519A2"/>
    <w:rsid w:val="6C305B70"/>
    <w:rsid w:val="6CDE381E"/>
    <w:rsid w:val="6D8C75E7"/>
    <w:rsid w:val="6F481423"/>
    <w:rsid w:val="71D022E5"/>
    <w:rsid w:val="75D26FF0"/>
    <w:rsid w:val="7ACE35B6"/>
    <w:rsid w:val="7D0F6ECA"/>
    <w:rsid w:val="7D3A40D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keepLines/>
      <w:pageBreakBefore/>
      <w:spacing w:before="240" w:after="120"/>
      <w:jc w:val="center"/>
      <w:outlineLvl w:val="0"/>
    </w:pPr>
    <w:rPr>
      <w:rFonts w:eastAsia="黑体"/>
      <w:b/>
      <w:sz w:val="36"/>
    </w:rPr>
  </w:style>
  <w:style w:type="paragraph" w:styleId="3">
    <w:name w:val="Body Text"/>
    <w:basedOn w:val="1"/>
    <w:qFormat/>
    <w:uiPriority w:val="1"/>
    <w:rPr>
      <w:sz w:val="32"/>
      <w:szCs w:val="32"/>
    </w:rPr>
  </w:style>
  <w:style w:type="paragraph" w:styleId="4">
    <w:name w:val="Balloon Text"/>
    <w:basedOn w:val="1"/>
    <w:link w:val="11"/>
    <w:semiHidden/>
    <w:unhideWhenUsed/>
    <w:qFormat/>
    <w:uiPriority w:val="0"/>
    <w:rPr>
      <w:sz w:val="18"/>
      <w:szCs w:val="18"/>
    </w:rPr>
  </w:style>
  <w:style w:type="paragraph" w:styleId="5">
    <w:name w:val="footer"/>
    <w:basedOn w:val="1"/>
    <w:link w:val="10"/>
    <w:qFormat/>
    <w:uiPriority w:val="0"/>
    <w:pPr>
      <w:tabs>
        <w:tab w:val="center" w:pos="4153"/>
        <w:tab w:val="right" w:pos="8306"/>
      </w:tabs>
      <w:snapToGrid w:val="0"/>
      <w:jc w:val="left"/>
    </w:pPr>
    <w:rPr>
      <w:sz w:val="18"/>
      <w:szCs w:val="18"/>
    </w:rPr>
  </w:style>
  <w:style w:type="paragraph" w:styleId="6">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8"/>
    <w:link w:val="6"/>
    <w:qFormat/>
    <w:uiPriority w:val="0"/>
    <w:rPr>
      <w:rFonts w:asciiTheme="minorHAnsi" w:hAnsiTheme="minorHAnsi" w:eastAsiaTheme="minorEastAsia" w:cstheme="minorBidi"/>
      <w:kern w:val="2"/>
      <w:sz w:val="18"/>
      <w:szCs w:val="18"/>
    </w:rPr>
  </w:style>
  <w:style w:type="character" w:customStyle="1" w:styleId="10">
    <w:name w:val="页脚 Char"/>
    <w:basedOn w:val="8"/>
    <w:link w:val="5"/>
    <w:qFormat/>
    <w:uiPriority w:val="0"/>
    <w:rPr>
      <w:rFonts w:asciiTheme="minorHAnsi" w:hAnsiTheme="minorHAnsi" w:eastAsiaTheme="minorEastAsia" w:cstheme="minorBidi"/>
      <w:kern w:val="2"/>
      <w:sz w:val="18"/>
      <w:szCs w:val="18"/>
    </w:rPr>
  </w:style>
  <w:style w:type="character" w:customStyle="1" w:styleId="11">
    <w:name w:val="批注框文本 Char"/>
    <w:basedOn w:val="8"/>
    <w:link w:val="4"/>
    <w:semiHidden/>
    <w:qFormat/>
    <w:uiPriority w:val="0"/>
    <w:rPr>
      <w:rFonts w:asciiTheme="minorHAnsi" w:hAnsiTheme="minorHAnsi" w:eastAsiaTheme="minorEastAsia" w:cstheme="minorBidi"/>
      <w:kern w:val="2"/>
      <w:sz w:val="18"/>
      <w:szCs w:val="18"/>
    </w:rPr>
  </w:style>
  <w:style w:type="paragraph" w:customStyle="1" w:styleId="1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771</Words>
  <Characters>1035</Characters>
  <Lines>7</Lines>
  <Paragraphs>2</Paragraphs>
  <TotalTime>3</TotalTime>
  <ScaleCrop>false</ScaleCrop>
  <LinksUpToDate>false</LinksUpToDate>
  <CharactersWithSpaces>1077</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2022-04-28T01:22:00Z</dcterms:created>
  <dc:creator>Mr.X</dc:creator>
  <cp:lastModifiedBy>张娜</cp:lastModifiedBy>
  <cp:lastPrinted>2022-04-28T02:25:00Z</cp:lastPrinted>
  <dcterms:modified xsi:type="dcterms:W3CDTF">2023-08-31T08:15:56Z</dcterms:modified>
  <cp:revision>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334117E687BE4CA3B083C7C41D9DCDCB_13</vt:lpwstr>
  </property>
  <property fmtid="{D5CDD505-2E9C-101B-9397-08002B2CF9AE}" pid="4" name="commondata">
    <vt:lpwstr>eyJoZGlkIjoiMzIxYmMwMDJkYjZiMmFlYzdhY2YzYTliOWFhN2UxMzIifQ==</vt:lpwstr>
  </property>
</Properties>
</file>