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autoSpaceDE w:val="0"/>
        <w:autoSpaceDN w:val="0"/>
        <w:spacing w:line="700" w:lineRule="exact"/>
        <w:jc w:val="center"/>
        <w:rPr>
          <w:rFonts w:hint="default" w:ascii="Times New Roman" w:hAnsi="Times New Roman" w:eastAsia="方正小标宋简体" w:cs="Times New Roman"/>
          <w:b/>
          <w:bCs/>
          <w:kern w:val="0"/>
          <w:sz w:val="44"/>
          <w:szCs w:val="44"/>
          <w:lang w:val="zh-CN" w:bidi="zh-CN"/>
        </w:rPr>
      </w:pPr>
      <w:r>
        <w:rPr>
          <w:rFonts w:hint="default" w:ascii="Times New Roman" w:hAnsi="Times New Roman" w:eastAsia="方正小标宋简体" w:cs="Times New Roman"/>
          <w:b/>
          <w:bCs/>
          <w:kern w:val="0"/>
          <w:sz w:val="44"/>
          <w:szCs w:val="44"/>
          <w:lang w:val="zh-CN" w:bidi="zh-CN"/>
        </w:rPr>
        <w:t xml:space="preserve">山东公用置业集团有限公司 </w:t>
      </w:r>
    </w:p>
    <w:p>
      <w:pPr>
        <w:pStyle w:val="3"/>
        <w:autoSpaceDE w:val="0"/>
        <w:autoSpaceDN w:val="0"/>
        <w:spacing w:line="700" w:lineRule="exact"/>
        <w:jc w:val="center"/>
        <w:rPr>
          <w:rFonts w:hint="default" w:ascii="Times New Roman" w:hAnsi="Times New Roman" w:eastAsia="方正小标宋简体" w:cs="Times New Roman"/>
          <w:b/>
          <w:bCs/>
          <w:kern w:val="0"/>
          <w:sz w:val="44"/>
          <w:szCs w:val="44"/>
          <w:lang w:val="zh-CN" w:bidi="zh-CN"/>
        </w:rPr>
      </w:pPr>
      <w:r>
        <w:rPr>
          <w:rFonts w:hint="default" w:ascii="Times New Roman" w:hAnsi="Times New Roman" w:eastAsia="方正小标宋简体" w:cs="Times New Roman"/>
          <w:b/>
          <w:bCs/>
          <w:kern w:val="0"/>
          <w:sz w:val="44"/>
          <w:szCs w:val="44"/>
          <w:lang w:val="zh-CN" w:bidi="zh-CN"/>
        </w:rPr>
        <w:t>2023年</w:t>
      </w:r>
      <w:r>
        <w:rPr>
          <w:rFonts w:hint="default" w:ascii="Times New Roman" w:hAnsi="Times New Roman" w:eastAsia="方正小标宋简体" w:cs="Times New Roman"/>
          <w:b/>
          <w:bCs/>
          <w:kern w:val="0"/>
          <w:sz w:val="44"/>
          <w:szCs w:val="44"/>
          <w:lang w:val="zh-CN" w:eastAsia="zh-CN" w:bidi="zh-CN"/>
        </w:rPr>
        <w:t>中期</w:t>
      </w:r>
      <w:r>
        <w:rPr>
          <w:rFonts w:hint="default" w:ascii="Times New Roman" w:hAnsi="Times New Roman" w:eastAsia="方正小标宋简体" w:cs="Times New Roman"/>
          <w:b/>
          <w:bCs/>
          <w:kern w:val="0"/>
          <w:sz w:val="44"/>
          <w:szCs w:val="44"/>
          <w:lang w:val="zh-CN" w:bidi="zh-CN"/>
        </w:rPr>
        <w:t>财务等重大信息公开</w:t>
      </w:r>
    </w:p>
    <w:p>
      <w:pPr>
        <w:spacing w:line="600" w:lineRule="exact"/>
        <w:rPr>
          <w:rFonts w:hint="default" w:ascii="Times New Roman" w:hAnsi="Times New Roman" w:eastAsia="方正小标宋简体" w:cs="Times New Roman"/>
          <w:b/>
          <w:bCs/>
          <w:sz w:val="32"/>
          <w:szCs w:val="32"/>
        </w:rPr>
      </w:pPr>
    </w:p>
    <w:p>
      <w:pPr>
        <w:numPr>
          <w:ilvl w:val="0"/>
          <w:numId w:val="0"/>
        </w:numPr>
        <w:snapToGrid w:val="0"/>
        <w:spacing w:line="600" w:lineRule="exact"/>
        <w:ind w:firstLine="643" w:firstLineChars="200"/>
        <w:rPr>
          <w:rFonts w:hint="default" w:ascii="Times New Roman" w:hAnsi="Times New Roman" w:eastAsia="方正黑体简体" w:cs="Times New Roman"/>
          <w:b/>
          <w:bCs/>
          <w:sz w:val="32"/>
          <w:szCs w:val="32"/>
        </w:rPr>
      </w:pPr>
      <w:r>
        <w:rPr>
          <w:rFonts w:hint="eastAsia" w:ascii="Times New Roman" w:hAnsi="Times New Roman" w:eastAsia="方正黑体简体" w:cs="Times New Roman"/>
          <w:b/>
          <w:bCs/>
          <w:sz w:val="32"/>
          <w:szCs w:val="32"/>
          <w:lang w:val="en-US" w:eastAsia="zh-CN"/>
        </w:rPr>
        <w:t>一、</w:t>
      </w:r>
      <w:r>
        <w:rPr>
          <w:rFonts w:hint="default" w:ascii="Times New Roman" w:hAnsi="Times New Roman" w:eastAsia="方正黑体简体" w:cs="Times New Roman"/>
          <w:b/>
          <w:bCs/>
          <w:sz w:val="32"/>
          <w:szCs w:val="32"/>
        </w:rPr>
        <w:t xml:space="preserve">公司基本情况 </w:t>
      </w:r>
    </w:p>
    <w:p>
      <w:pPr>
        <w:keepNext w:val="0"/>
        <w:keepLines w:val="0"/>
        <w:pageBreakBefore w:val="0"/>
        <w:widowControl w:val="0"/>
        <w:kinsoku/>
        <w:wordWrap/>
        <w:overflowPunct/>
        <w:topLinePunct w:val="0"/>
        <w:autoSpaceDE/>
        <w:autoSpaceDN/>
        <w:bidi w:val="0"/>
        <w:adjustRightInd/>
        <w:spacing w:line="600" w:lineRule="exact"/>
        <w:ind w:firstLine="643" w:firstLineChars="200"/>
        <w:textAlignment w:val="auto"/>
        <w:rPr>
          <w:rFonts w:hint="default" w:ascii="Times New Roman" w:hAnsi="Times New Roman" w:eastAsia="方正楷体简体" w:cs="Times New Roman"/>
          <w:b/>
          <w:bCs/>
          <w:sz w:val="32"/>
          <w:szCs w:val="32"/>
        </w:rPr>
      </w:pPr>
      <w:r>
        <w:rPr>
          <w:rFonts w:hint="default" w:ascii="Times New Roman" w:hAnsi="Times New Roman" w:eastAsia="方正楷体简体" w:cs="Times New Roman"/>
          <w:b/>
          <w:bCs/>
          <w:sz w:val="32"/>
          <w:szCs w:val="32"/>
        </w:rPr>
        <w:t>（</w:t>
      </w:r>
      <w:r>
        <w:rPr>
          <w:rFonts w:hint="eastAsia" w:ascii="Times New Roman" w:hAnsi="Times New Roman" w:eastAsia="方正楷体简体" w:cs="Times New Roman"/>
          <w:b/>
          <w:bCs/>
          <w:sz w:val="32"/>
          <w:szCs w:val="32"/>
          <w:lang w:val="en-US" w:eastAsia="zh-CN"/>
        </w:rPr>
        <w:t>一</w:t>
      </w:r>
      <w:r>
        <w:rPr>
          <w:rFonts w:hint="default" w:ascii="Times New Roman" w:hAnsi="Times New Roman" w:eastAsia="方正楷体简体" w:cs="Times New Roman"/>
          <w:b/>
          <w:bCs/>
          <w:sz w:val="32"/>
          <w:szCs w:val="32"/>
        </w:rPr>
        <w:t>）企业基本信息</w:t>
      </w:r>
    </w:p>
    <w:p>
      <w:pPr>
        <w:keepNext w:val="0"/>
        <w:keepLines w:val="0"/>
        <w:pageBreakBefore w:val="0"/>
        <w:widowControl w:val="0"/>
        <w:kinsoku/>
        <w:wordWrap/>
        <w:overflowPunct/>
        <w:topLinePunct w:val="0"/>
        <w:autoSpaceDE/>
        <w:autoSpaceDN/>
        <w:bidi w:val="0"/>
        <w:adjustRightInd/>
        <w:spacing w:line="600" w:lineRule="exact"/>
        <w:ind w:firstLine="643" w:firstLineChars="200"/>
        <w:textAlignment w:val="auto"/>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1.</w:t>
      </w:r>
      <w:r>
        <w:rPr>
          <w:rFonts w:hint="default" w:ascii="Times New Roman" w:hAnsi="Times New Roman" w:eastAsia="方正仿宋简体" w:cs="Times New Roman"/>
          <w:b/>
          <w:bCs/>
          <w:sz w:val="32"/>
          <w:szCs w:val="32"/>
        </w:rPr>
        <w:t>企业名称：山东公用置业集团有限公司</w:t>
      </w:r>
    </w:p>
    <w:p>
      <w:pPr>
        <w:keepNext w:val="0"/>
        <w:keepLines w:val="0"/>
        <w:pageBreakBefore w:val="0"/>
        <w:widowControl w:val="0"/>
        <w:kinsoku/>
        <w:wordWrap/>
        <w:overflowPunct/>
        <w:topLinePunct w:val="0"/>
        <w:autoSpaceDE/>
        <w:autoSpaceDN/>
        <w:bidi w:val="0"/>
        <w:adjustRightInd/>
        <w:spacing w:line="600" w:lineRule="exact"/>
        <w:ind w:firstLine="643" w:firstLineChars="200"/>
        <w:textAlignment w:val="auto"/>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2.</w:t>
      </w:r>
      <w:r>
        <w:rPr>
          <w:rFonts w:hint="default" w:ascii="Times New Roman" w:hAnsi="Times New Roman" w:eastAsia="方正仿宋简体" w:cs="Times New Roman"/>
          <w:b/>
          <w:bCs/>
          <w:sz w:val="32"/>
          <w:szCs w:val="32"/>
        </w:rPr>
        <w:t>企业类型：有限责任公司</w:t>
      </w:r>
    </w:p>
    <w:p>
      <w:pPr>
        <w:keepNext w:val="0"/>
        <w:keepLines w:val="0"/>
        <w:pageBreakBefore w:val="0"/>
        <w:widowControl w:val="0"/>
        <w:kinsoku/>
        <w:wordWrap/>
        <w:overflowPunct/>
        <w:topLinePunct w:val="0"/>
        <w:autoSpaceDE/>
        <w:autoSpaceDN/>
        <w:bidi w:val="0"/>
        <w:adjustRightInd/>
        <w:spacing w:line="600" w:lineRule="exact"/>
        <w:ind w:left="2207" w:leftChars="286" w:hanging="1606" w:hangingChars="500"/>
        <w:textAlignment w:val="auto"/>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3.</w:t>
      </w:r>
      <w:r>
        <w:rPr>
          <w:rFonts w:hint="default" w:ascii="Times New Roman" w:hAnsi="Times New Roman" w:eastAsia="方正仿宋简体" w:cs="Times New Roman"/>
          <w:b/>
          <w:bCs/>
          <w:sz w:val="32"/>
          <w:szCs w:val="32"/>
        </w:rPr>
        <w:t>经营范围：</w:t>
      </w:r>
    </w:p>
    <w:p>
      <w:pPr>
        <w:keepNext w:val="0"/>
        <w:keepLines w:val="0"/>
        <w:pageBreakBefore w:val="0"/>
        <w:widowControl w:val="0"/>
        <w:kinsoku/>
        <w:wordWrap/>
        <w:overflowPunct/>
        <w:topLinePunct w:val="0"/>
        <w:autoSpaceDE/>
        <w:autoSpaceDN/>
        <w:bidi w:val="0"/>
        <w:adjustRightInd/>
        <w:spacing w:line="60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房地产开发经营；物业管理；自有房地产经营活动；商品房销售；房地产投资；建筑工程施工；装饰装修；建筑材料销售；房地产信息查询；房屋出租。（依法须经批准的项目，经相关部门批准后开展经营活动）</w:t>
      </w:r>
    </w:p>
    <w:p>
      <w:pPr>
        <w:keepNext w:val="0"/>
        <w:keepLines w:val="0"/>
        <w:pageBreakBefore w:val="0"/>
        <w:widowControl w:val="0"/>
        <w:kinsoku/>
        <w:wordWrap/>
        <w:overflowPunct/>
        <w:topLinePunct w:val="0"/>
        <w:autoSpaceDE/>
        <w:autoSpaceDN/>
        <w:bidi w:val="0"/>
        <w:adjustRightInd/>
        <w:spacing w:line="600" w:lineRule="exact"/>
        <w:ind w:firstLine="643" w:firstLineChars="200"/>
        <w:textAlignment w:val="auto"/>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4.</w:t>
      </w:r>
      <w:r>
        <w:rPr>
          <w:rFonts w:hint="default" w:ascii="Times New Roman" w:hAnsi="Times New Roman" w:eastAsia="方正仿宋简体" w:cs="Times New Roman"/>
          <w:b/>
          <w:bCs/>
          <w:sz w:val="32"/>
          <w:szCs w:val="32"/>
        </w:rPr>
        <w:t>成立日期：2019</w:t>
      </w:r>
      <w:r>
        <w:rPr>
          <w:rFonts w:hint="eastAsia" w:ascii="Times New Roman" w:hAnsi="Times New Roman" w:eastAsia="方正仿宋简体" w:cs="Times New Roman"/>
          <w:b/>
          <w:bCs/>
          <w:sz w:val="32"/>
          <w:szCs w:val="32"/>
          <w:lang w:val="en-US" w:eastAsia="zh-CN"/>
        </w:rPr>
        <w:t>-</w:t>
      </w:r>
      <w:r>
        <w:rPr>
          <w:rFonts w:hint="default" w:ascii="Times New Roman" w:hAnsi="Times New Roman" w:eastAsia="方正仿宋简体" w:cs="Times New Roman"/>
          <w:b/>
          <w:bCs/>
          <w:sz w:val="32"/>
          <w:szCs w:val="32"/>
        </w:rPr>
        <w:t>8</w:t>
      </w:r>
      <w:r>
        <w:rPr>
          <w:rFonts w:hint="eastAsia" w:ascii="Times New Roman" w:hAnsi="Times New Roman" w:eastAsia="方正仿宋简体" w:cs="Times New Roman"/>
          <w:b/>
          <w:bCs/>
          <w:sz w:val="32"/>
          <w:szCs w:val="32"/>
          <w:lang w:val="en-US" w:eastAsia="zh-CN"/>
        </w:rPr>
        <w:t>-</w:t>
      </w:r>
      <w:r>
        <w:rPr>
          <w:rFonts w:hint="default" w:ascii="Times New Roman" w:hAnsi="Times New Roman" w:eastAsia="方正仿宋简体" w:cs="Times New Roman"/>
          <w:b/>
          <w:bCs/>
          <w:sz w:val="32"/>
          <w:szCs w:val="32"/>
        </w:rPr>
        <w:t>21</w:t>
      </w:r>
    </w:p>
    <w:p>
      <w:pPr>
        <w:keepNext w:val="0"/>
        <w:keepLines w:val="0"/>
        <w:pageBreakBefore w:val="0"/>
        <w:widowControl w:val="0"/>
        <w:kinsoku/>
        <w:wordWrap/>
        <w:overflowPunct/>
        <w:topLinePunct w:val="0"/>
        <w:autoSpaceDE/>
        <w:autoSpaceDN/>
        <w:bidi w:val="0"/>
        <w:adjustRightInd/>
        <w:spacing w:line="600" w:lineRule="exact"/>
        <w:ind w:firstLine="643" w:firstLineChars="200"/>
        <w:textAlignment w:val="auto"/>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5.</w:t>
      </w:r>
      <w:r>
        <w:rPr>
          <w:rFonts w:hint="default" w:ascii="Times New Roman" w:hAnsi="Times New Roman" w:eastAsia="方正仿宋简体" w:cs="Times New Roman"/>
          <w:b/>
          <w:bCs/>
          <w:sz w:val="32"/>
          <w:szCs w:val="32"/>
        </w:rPr>
        <w:t>注册地址：山东省济宁市任城区红星中路23号</w:t>
      </w:r>
    </w:p>
    <w:p>
      <w:pPr>
        <w:keepNext w:val="0"/>
        <w:keepLines w:val="0"/>
        <w:pageBreakBefore w:val="0"/>
        <w:widowControl w:val="0"/>
        <w:kinsoku/>
        <w:wordWrap/>
        <w:overflowPunct/>
        <w:topLinePunct w:val="0"/>
        <w:autoSpaceDE/>
        <w:autoSpaceDN/>
        <w:bidi w:val="0"/>
        <w:adjustRightInd/>
        <w:spacing w:line="600" w:lineRule="exact"/>
        <w:ind w:firstLine="643" w:firstLineChars="200"/>
        <w:textAlignment w:val="auto"/>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6.</w:t>
      </w:r>
      <w:r>
        <w:rPr>
          <w:rFonts w:hint="default" w:ascii="Times New Roman" w:hAnsi="Times New Roman" w:eastAsia="方正仿宋简体" w:cs="Times New Roman"/>
          <w:b/>
          <w:bCs/>
          <w:sz w:val="32"/>
          <w:szCs w:val="32"/>
        </w:rPr>
        <w:t>登记机关：济宁市行政审批服务局</w:t>
      </w:r>
    </w:p>
    <w:p>
      <w:pPr>
        <w:keepNext w:val="0"/>
        <w:keepLines w:val="0"/>
        <w:pageBreakBefore w:val="0"/>
        <w:widowControl w:val="0"/>
        <w:kinsoku/>
        <w:wordWrap/>
        <w:overflowPunct/>
        <w:topLinePunct w:val="0"/>
        <w:autoSpaceDE/>
        <w:autoSpaceDN/>
        <w:bidi w:val="0"/>
        <w:adjustRightInd/>
        <w:spacing w:line="600" w:lineRule="exact"/>
        <w:ind w:firstLine="643" w:firstLineChars="200"/>
        <w:textAlignment w:val="auto"/>
        <w:rPr>
          <w:rFonts w:hint="default" w:ascii="Times New Roman" w:hAnsi="Times New Roman" w:eastAsia="方正楷体简体" w:cs="Times New Roman"/>
          <w:b/>
          <w:bCs/>
          <w:sz w:val="32"/>
          <w:szCs w:val="32"/>
        </w:rPr>
      </w:pPr>
      <w:r>
        <w:rPr>
          <w:rFonts w:hint="default" w:ascii="Times New Roman" w:hAnsi="Times New Roman" w:eastAsia="方正楷体简体" w:cs="Times New Roman"/>
          <w:b/>
          <w:bCs/>
          <w:sz w:val="32"/>
          <w:szCs w:val="32"/>
        </w:rPr>
        <w:t>（</w:t>
      </w:r>
      <w:r>
        <w:rPr>
          <w:rFonts w:hint="eastAsia" w:ascii="Times New Roman" w:hAnsi="Times New Roman" w:eastAsia="方正楷体简体" w:cs="Times New Roman"/>
          <w:b/>
          <w:bCs/>
          <w:sz w:val="32"/>
          <w:szCs w:val="32"/>
          <w:lang w:val="en-US" w:eastAsia="zh-CN"/>
        </w:rPr>
        <w:t>二</w:t>
      </w:r>
      <w:r>
        <w:rPr>
          <w:rFonts w:hint="default" w:ascii="Times New Roman" w:hAnsi="Times New Roman" w:eastAsia="方正楷体简体" w:cs="Times New Roman"/>
          <w:b/>
          <w:bCs/>
          <w:sz w:val="32"/>
          <w:szCs w:val="32"/>
        </w:rPr>
        <w:t>）企业简介</w:t>
      </w:r>
    </w:p>
    <w:p>
      <w:pPr>
        <w:keepNext w:val="0"/>
        <w:keepLines w:val="0"/>
        <w:pageBreakBefore w:val="0"/>
        <w:widowControl w:val="0"/>
        <w:kinsoku/>
        <w:wordWrap/>
        <w:overflowPunct/>
        <w:topLinePunct w:val="0"/>
        <w:autoSpaceDE/>
        <w:autoSpaceDN/>
        <w:bidi w:val="0"/>
        <w:adjustRightInd/>
        <w:spacing w:line="60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山东公用置业集团有限公司是山东公用控股有限公司出资设立的国有独资企业。公司以“树立品牌形象，建设优质工程，打造诚信企业”为宗旨，一贯坚持以“市场为导向、开发为重点、经营为龙头、质量为根本”的开发理念和经营方针，积极打造优质环保工程，走品牌化道路。</w:t>
      </w:r>
    </w:p>
    <w:p>
      <w:pPr>
        <w:keepNext w:val="0"/>
        <w:keepLines w:val="0"/>
        <w:pageBreakBefore w:val="0"/>
        <w:widowControl w:val="0"/>
        <w:kinsoku/>
        <w:wordWrap/>
        <w:overflowPunct/>
        <w:topLinePunct w:val="0"/>
        <w:autoSpaceDE/>
        <w:autoSpaceDN/>
        <w:bidi w:val="0"/>
        <w:adjustRightInd/>
        <w:spacing w:line="60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近年来，山东公用置业集团成功开发了太白湖新区“清泉美景”住宅、商务片区；兖州“公用瑞马名门”、“公用瑞马悦府”、“公用瑞马世家”、济宁高新区“公用瑞马新天地”、“公用·九巨龙理想城”；济宁任城区“禧悦”、嘉祥公用·九巨龙“山水龙城”；梁山“龙城公馆”等房地产项目。建设工程曾荣获“山东省建筑业新技术应用示范工程”、“山东省建筑施工安全文明小区”、“山东省节水型小区”、“山东省、济宁市优质结构”、“运河杯”、“沂蒙杯”等荣誉称号。</w:t>
      </w:r>
    </w:p>
    <w:p>
      <w:pPr>
        <w:keepNext w:val="0"/>
        <w:keepLines w:val="0"/>
        <w:pageBreakBefore w:val="0"/>
        <w:widowControl w:val="0"/>
        <w:kinsoku/>
        <w:wordWrap/>
        <w:overflowPunct/>
        <w:topLinePunct w:val="0"/>
        <w:autoSpaceDE/>
        <w:autoSpaceDN/>
        <w:bidi w:val="0"/>
        <w:adjustRightInd/>
        <w:spacing w:line="60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公司致力于开发精品楼盘，优化济宁人居环境，精心为客户提供全方位、高品质的良好服务。开发项目典雅恢弘的建筑、匠心独运的设计，国际化标准物业管理服务使企业在济宁地产行业迅速成为一颗璀璨的明珠。</w:t>
      </w:r>
    </w:p>
    <w:p>
      <w:pPr>
        <w:keepNext w:val="0"/>
        <w:keepLines w:val="0"/>
        <w:pageBreakBefore w:val="0"/>
        <w:widowControl w:val="0"/>
        <w:kinsoku/>
        <w:wordWrap/>
        <w:overflowPunct/>
        <w:topLinePunct w:val="0"/>
        <w:autoSpaceDE/>
        <w:autoSpaceDN/>
        <w:bidi w:val="0"/>
        <w:adjustRightInd/>
        <w:spacing w:line="600" w:lineRule="exact"/>
        <w:ind w:firstLine="643" w:firstLineChars="200"/>
        <w:textAlignment w:val="auto"/>
        <w:rPr>
          <w:rFonts w:hint="default" w:ascii="Times New Roman" w:hAnsi="Times New Roman" w:cs="Times New Roman" w:eastAsiaTheme="majorEastAsia"/>
          <w:b/>
          <w:bCs/>
          <w:sz w:val="32"/>
          <w:szCs w:val="32"/>
        </w:rPr>
      </w:pPr>
      <w:r>
        <w:rPr>
          <w:rFonts w:hint="default" w:ascii="Times New Roman" w:hAnsi="Times New Roman" w:eastAsia="方正仿宋简体" w:cs="Times New Roman"/>
          <w:b/>
          <w:bCs/>
          <w:sz w:val="32"/>
          <w:szCs w:val="32"/>
        </w:rPr>
        <w:t>公司在经营管理中积极探索与市场机制相适应的经营策略，以国家政策为指导，充分发挥国有企业资源优势。坚持创新发展，以市场为主导，以客户需求为目标，以质量占领市场，以服务赢得人心的经营理念，努力为济宁人民提供温馨优雅的宜居家园。</w:t>
      </w:r>
    </w:p>
    <w:p>
      <w:pPr>
        <w:keepNext w:val="0"/>
        <w:keepLines w:val="0"/>
        <w:pageBreakBefore w:val="0"/>
        <w:widowControl w:val="0"/>
        <w:kinsoku/>
        <w:wordWrap/>
        <w:overflowPunct/>
        <w:topLinePunct w:val="0"/>
        <w:autoSpaceDE/>
        <w:autoSpaceDN/>
        <w:bidi w:val="0"/>
        <w:adjustRightInd/>
        <w:spacing w:line="600" w:lineRule="exact"/>
        <w:ind w:firstLine="643" w:firstLineChars="200"/>
        <w:textAlignment w:val="auto"/>
        <w:rPr>
          <w:rFonts w:hint="default" w:ascii="Times New Roman" w:hAnsi="Times New Roman" w:eastAsia="方正楷体简体" w:cs="Times New Roman"/>
          <w:b/>
          <w:bCs/>
          <w:sz w:val="32"/>
          <w:szCs w:val="32"/>
        </w:rPr>
      </w:pPr>
      <w:r>
        <w:rPr>
          <w:rFonts w:hint="default" w:ascii="Times New Roman" w:hAnsi="Times New Roman" w:eastAsia="方正楷体简体" w:cs="Times New Roman"/>
          <w:b/>
          <w:bCs/>
          <w:sz w:val="32"/>
          <w:szCs w:val="32"/>
        </w:rPr>
        <w:t>（三）机构设置</w:t>
      </w:r>
    </w:p>
    <w:p>
      <w:pPr>
        <w:keepNext w:val="0"/>
        <w:keepLines w:val="0"/>
        <w:pageBreakBefore w:val="0"/>
        <w:widowControl w:val="0"/>
        <w:kinsoku/>
        <w:wordWrap/>
        <w:overflowPunct/>
        <w:topLinePunct w:val="0"/>
        <w:autoSpaceDE/>
        <w:autoSpaceDN/>
        <w:bidi w:val="0"/>
        <w:adjustRightInd/>
        <w:spacing w:line="60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公司设董事会，董事长1人、董事2人，监事1人；经理层8人。内部机构设置三部一室：综合办公室、计划财务部、市场发展部、工程管理部。</w:t>
      </w:r>
    </w:p>
    <w:p>
      <w:pPr>
        <w:keepNext w:val="0"/>
        <w:keepLines w:val="0"/>
        <w:pageBreakBefore w:val="0"/>
        <w:widowControl w:val="0"/>
        <w:kinsoku/>
        <w:wordWrap/>
        <w:overflowPunct/>
        <w:topLinePunct w:val="0"/>
        <w:autoSpaceDE/>
        <w:autoSpaceDN/>
        <w:bidi w:val="0"/>
        <w:adjustRightInd/>
        <w:snapToGrid w:val="0"/>
        <w:spacing w:line="600" w:lineRule="exact"/>
        <w:ind w:left="420" w:leftChars="200"/>
        <w:textAlignment w:val="auto"/>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sz w:val="32"/>
          <w:szCs w:val="32"/>
        </w:rPr>
        <w:t xml:space="preserve">二、主要会计数据和财务指标 </w:t>
      </w:r>
    </w:p>
    <w:tbl>
      <w:tblPr>
        <w:tblStyle w:val="7"/>
        <w:tblW w:w="5298" w:type="pct"/>
        <w:tblInd w:w="-312" w:type="dxa"/>
        <w:tblLayout w:type="fixed"/>
        <w:tblCellMar>
          <w:top w:w="0" w:type="dxa"/>
          <w:left w:w="108" w:type="dxa"/>
          <w:bottom w:w="0" w:type="dxa"/>
          <w:right w:w="108" w:type="dxa"/>
        </w:tblCellMar>
      </w:tblPr>
      <w:tblGrid>
        <w:gridCol w:w="1800"/>
        <w:gridCol w:w="1857"/>
        <w:gridCol w:w="2178"/>
        <w:gridCol w:w="1950"/>
        <w:gridCol w:w="1815"/>
      </w:tblGrid>
      <w:tr>
        <w:tblPrEx>
          <w:tblCellMar>
            <w:top w:w="0" w:type="dxa"/>
            <w:left w:w="108" w:type="dxa"/>
            <w:bottom w:w="0" w:type="dxa"/>
            <w:right w:w="108" w:type="dxa"/>
          </w:tblCellMar>
        </w:tblPrEx>
        <w:trPr>
          <w:trHeight w:val="645" w:hRule="atLeast"/>
        </w:trPr>
        <w:tc>
          <w:tcPr>
            <w:tcW w:w="5000" w:type="pct"/>
            <w:gridSpan w:val="5"/>
            <w:tcBorders>
              <w:top w:val="nil"/>
              <w:left w:val="nil"/>
              <w:bottom w:val="single" w:color="auto" w:sz="8" w:space="0"/>
              <w:right w:val="nil"/>
            </w:tcBorders>
            <w:shd w:val="clear" w:color="auto" w:fill="auto"/>
            <w:noWrap/>
            <w:vAlign w:val="center"/>
          </w:tcPr>
          <w:p>
            <w:pPr>
              <w:widowControl/>
              <w:ind w:firstLine="6325" w:firstLineChars="2100"/>
              <w:jc w:val="both"/>
              <w:rPr>
                <w:rFonts w:hint="default" w:ascii="Times New Roman" w:hAnsi="Times New Roman" w:eastAsia="宋体" w:cs="Times New Roman"/>
                <w:color w:val="000000"/>
                <w:kern w:val="0"/>
                <w:sz w:val="22"/>
                <w:szCs w:val="22"/>
              </w:rPr>
            </w:pPr>
            <w:bookmarkStart w:id="0" w:name="_GoBack"/>
            <w:bookmarkEnd w:id="0"/>
            <w:r>
              <w:rPr>
                <w:rFonts w:hint="default" w:ascii="Times New Roman" w:hAnsi="Times New Roman" w:eastAsia="方正楷体简体" w:cs="Times New Roman"/>
                <w:b/>
                <w:bCs/>
                <w:kern w:val="0"/>
                <w:sz w:val="30"/>
                <w:szCs w:val="30"/>
                <w:lang w:val="en-US" w:eastAsia="zh-CN" w:bidi="zh-CN"/>
              </w:rPr>
              <w:t xml:space="preserve">          单位：万元</w:t>
            </w:r>
          </w:p>
        </w:tc>
      </w:tr>
      <w:tr>
        <w:tblPrEx>
          <w:tblCellMar>
            <w:top w:w="0" w:type="dxa"/>
            <w:left w:w="108" w:type="dxa"/>
            <w:bottom w:w="0" w:type="dxa"/>
            <w:right w:w="108" w:type="dxa"/>
          </w:tblCellMar>
        </w:tblPrEx>
        <w:trPr>
          <w:trHeight w:val="840" w:hRule="atLeast"/>
        </w:trPr>
        <w:tc>
          <w:tcPr>
            <w:tcW w:w="937" w:type="pct"/>
            <w:tcBorders>
              <w:top w:val="nil"/>
              <w:left w:val="single" w:color="auto" w:sz="8" w:space="0"/>
              <w:bottom w:val="single" w:color="auto" w:sz="4" w:space="0"/>
              <w:right w:val="single" w:color="auto"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spacing w:val="-17"/>
                <w:kern w:val="0"/>
                <w:sz w:val="32"/>
                <w:szCs w:val="32"/>
                <w:lang w:val="en-US" w:bidi="ar-SA"/>
              </w:rPr>
            </w:pPr>
            <w:r>
              <w:rPr>
                <w:rFonts w:hint="default" w:ascii="Times New Roman" w:hAnsi="Times New Roman" w:eastAsia="方正仿宋简体" w:cs="Times New Roman"/>
                <w:b/>
                <w:bCs/>
                <w:color w:val="000000"/>
                <w:spacing w:val="-17"/>
                <w:kern w:val="0"/>
                <w:sz w:val="32"/>
                <w:szCs w:val="32"/>
                <w:lang w:val="en-US" w:bidi="ar-SA"/>
              </w:rPr>
              <w:t>项</w:t>
            </w:r>
            <w:r>
              <w:rPr>
                <w:rFonts w:hint="eastAsia" w:ascii="Times New Roman" w:hAnsi="Times New Roman" w:eastAsia="方正仿宋简体" w:cs="Times New Roman"/>
                <w:b/>
                <w:bCs/>
                <w:color w:val="000000"/>
                <w:spacing w:val="-17"/>
                <w:kern w:val="0"/>
                <w:sz w:val="32"/>
                <w:szCs w:val="32"/>
                <w:lang w:val="en-US" w:eastAsia="zh-CN" w:bidi="ar-SA"/>
              </w:rPr>
              <w:t xml:space="preserve">  </w:t>
            </w:r>
            <w:r>
              <w:rPr>
                <w:rFonts w:hint="default" w:ascii="Times New Roman" w:hAnsi="Times New Roman" w:eastAsia="方正仿宋简体" w:cs="Times New Roman"/>
                <w:b/>
                <w:bCs/>
                <w:color w:val="000000"/>
                <w:spacing w:val="-17"/>
                <w:kern w:val="0"/>
                <w:sz w:val="32"/>
                <w:szCs w:val="32"/>
                <w:lang w:val="en-US" w:bidi="ar-SA"/>
              </w:rPr>
              <w:t>目</w:t>
            </w:r>
          </w:p>
        </w:tc>
        <w:tc>
          <w:tcPr>
            <w:tcW w:w="967" w:type="pct"/>
            <w:tcBorders>
              <w:top w:val="nil"/>
              <w:left w:val="nil"/>
              <w:bottom w:val="single" w:color="auto" w:sz="4" w:space="0"/>
              <w:right w:val="single" w:color="auto"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spacing w:val="-17"/>
                <w:kern w:val="0"/>
                <w:sz w:val="32"/>
                <w:szCs w:val="32"/>
                <w:lang w:val="en-US" w:bidi="ar-SA"/>
              </w:rPr>
            </w:pPr>
            <w:r>
              <w:rPr>
                <w:rFonts w:hint="default" w:ascii="Times New Roman" w:hAnsi="Times New Roman" w:eastAsia="方正仿宋简体" w:cs="Times New Roman"/>
                <w:b/>
                <w:bCs/>
                <w:color w:val="000000"/>
                <w:spacing w:val="-17"/>
                <w:kern w:val="0"/>
                <w:sz w:val="32"/>
                <w:szCs w:val="32"/>
                <w:lang w:val="en-US" w:bidi="ar-SA"/>
              </w:rPr>
              <w:t xml:space="preserve"> 本期金额 </w:t>
            </w:r>
          </w:p>
        </w:tc>
        <w:tc>
          <w:tcPr>
            <w:tcW w:w="1134" w:type="pct"/>
            <w:tcBorders>
              <w:top w:val="nil"/>
              <w:left w:val="nil"/>
              <w:bottom w:val="single" w:color="auto" w:sz="4" w:space="0"/>
              <w:right w:val="single" w:color="auto"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spacing w:val="-17"/>
                <w:kern w:val="0"/>
                <w:sz w:val="32"/>
                <w:szCs w:val="32"/>
                <w:lang w:val="en-US" w:bidi="ar-SA"/>
              </w:rPr>
            </w:pPr>
            <w:r>
              <w:rPr>
                <w:rFonts w:hint="default" w:ascii="Times New Roman" w:hAnsi="Times New Roman" w:eastAsia="方正仿宋简体" w:cs="Times New Roman"/>
                <w:b/>
                <w:bCs/>
                <w:color w:val="000000"/>
                <w:spacing w:val="-17"/>
                <w:kern w:val="0"/>
                <w:sz w:val="32"/>
                <w:szCs w:val="32"/>
                <w:lang w:val="en-US" w:bidi="ar-SA"/>
              </w:rPr>
              <w:t xml:space="preserve">年度预算目标 </w:t>
            </w:r>
          </w:p>
        </w:tc>
        <w:tc>
          <w:tcPr>
            <w:tcW w:w="1015" w:type="pct"/>
            <w:tcBorders>
              <w:top w:val="nil"/>
              <w:left w:val="nil"/>
              <w:bottom w:val="single" w:color="auto" w:sz="4" w:space="0"/>
              <w:right w:val="single" w:color="auto"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spacing w:val="-17"/>
                <w:kern w:val="0"/>
                <w:sz w:val="32"/>
                <w:szCs w:val="32"/>
                <w:lang w:val="en-US" w:bidi="ar-SA"/>
              </w:rPr>
            </w:pPr>
            <w:r>
              <w:rPr>
                <w:rFonts w:hint="default" w:ascii="Times New Roman" w:hAnsi="Times New Roman" w:eastAsia="方正仿宋简体" w:cs="Times New Roman"/>
                <w:b/>
                <w:bCs/>
                <w:color w:val="000000"/>
                <w:spacing w:val="-17"/>
                <w:kern w:val="0"/>
                <w:sz w:val="32"/>
                <w:szCs w:val="32"/>
                <w:lang w:val="en-US" w:bidi="ar-SA"/>
              </w:rPr>
              <w:t xml:space="preserve">预算完成情况 </w:t>
            </w:r>
          </w:p>
        </w:tc>
        <w:tc>
          <w:tcPr>
            <w:tcW w:w="945" w:type="pct"/>
            <w:tcBorders>
              <w:top w:val="nil"/>
              <w:left w:val="nil"/>
              <w:bottom w:val="single" w:color="auto" w:sz="4" w:space="0"/>
              <w:right w:val="single" w:color="auto" w:sz="8"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spacing w:val="-17"/>
                <w:kern w:val="0"/>
                <w:sz w:val="32"/>
                <w:szCs w:val="32"/>
                <w:lang w:val="en-US" w:bidi="ar-SA"/>
              </w:rPr>
            </w:pPr>
            <w:r>
              <w:rPr>
                <w:rFonts w:hint="default" w:ascii="Times New Roman" w:hAnsi="Times New Roman" w:eastAsia="方正仿宋简体" w:cs="Times New Roman"/>
                <w:b/>
                <w:bCs/>
                <w:color w:val="000000"/>
                <w:spacing w:val="-17"/>
                <w:kern w:val="0"/>
                <w:sz w:val="32"/>
                <w:szCs w:val="32"/>
                <w:lang w:val="en-US" w:bidi="ar-SA"/>
              </w:rPr>
              <w:t>上年同期</w:t>
            </w:r>
          </w:p>
        </w:tc>
      </w:tr>
      <w:tr>
        <w:tblPrEx>
          <w:tblCellMar>
            <w:top w:w="0" w:type="dxa"/>
            <w:left w:w="108" w:type="dxa"/>
            <w:bottom w:w="0" w:type="dxa"/>
            <w:right w:w="108" w:type="dxa"/>
          </w:tblCellMar>
        </w:tblPrEx>
        <w:trPr>
          <w:trHeight w:val="600" w:hRule="atLeast"/>
        </w:trPr>
        <w:tc>
          <w:tcPr>
            <w:tcW w:w="937" w:type="pct"/>
            <w:tcBorders>
              <w:top w:val="nil"/>
              <w:left w:val="single" w:color="auto" w:sz="8" w:space="0"/>
              <w:bottom w:val="single" w:color="auto" w:sz="4" w:space="0"/>
              <w:right w:val="single" w:color="auto"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spacing w:val="-6"/>
                <w:kern w:val="0"/>
                <w:sz w:val="32"/>
                <w:szCs w:val="32"/>
                <w:lang w:val="en-US" w:bidi="ar-SA"/>
              </w:rPr>
            </w:pPr>
            <w:r>
              <w:rPr>
                <w:rFonts w:hint="default" w:ascii="Times New Roman" w:hAnsi="Times New Roman" w:eastAsia="方正仿宋简体" w:cs="Times New Roman"/>
                <w:b/>
                <w:bCs/>
                <w:color w:val="000000"/>
                <w:spacing w:val="-6"/>
                <w:kern w:val="0"/>
                <w:sz w:val="32"/>
                <w:szCs w:val="32"/>
                <w:lang w:val="en-US" w:bidi="ar-SA"/>
              </w:rPr>
              <w:t>营业总收入</w:t>
            </w:r>
          </w:p>
        </w:tc>
        <w:tc>
          <w:tcPr>
            <w:tcW w:w="967" w:type="pct"/>
            <w:tcBorders>
              <w:top w:val="nil"/>
              <w:left w:val="nil"/>
              <w:bottom w:val="single" w:color="auto" w:sz="4" w:space="0"/>
              <w:right w:val="single" w:color="auto"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default" w:ascii="Times New Roman" w:hAnsi="Times New Roman" w:eastAsia="方正仿宋简体" w:cs="Times New Roman"/>
                <w:b/>
                <w:bCs/>
                <w:color w:val="000000"/>
                <w:kern w:val="0"/>
                <w:sz w:val="32"/>
                <w:szCs w:val="32"/>
                <w:lang w:val="en-US" w:eastAsia="zh-CN" w:bidi="ar-SA"/>
              </w:rPr>
              <w:t xml:space="preserve"> 166,056.00 </w:t>
            </w:r>
          </w:p>
        </w:tc>
        <w:tc>
          <w:tcPr>
            <w:tcW w:w="1134" w:type="pct"/>
            <w:tcBorders>
              <w:top w:val="nil"/>
              <w:left w:val="nil"/>
              <w:bottom w:val="single" w:color="auto" w:sz="4" w:space="0"/>
              <w:right w:val="single" w:color="auto"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default" w:ascii="Times New Roman" w:hAnsi="Times New Roman" w:eastAsia="方正仿宋简体" w:cs="Times New Roman"/>
                <w:b/>
                <w:bCs/>
                <w:color w:val="000000"/>
                <w:kern w:val="0"/>
                <w:sz w:val="32"/>
                <w:szCs w:val="32"/>
                <w:lang w:val="en-US" w:eastAsia="zh-CN" w:bidi="ar-SA"/>
              </w:rPr>
              <w:t xml:space="preserve"> 101,164.09 </w:t>
            </w:r>
          </w:p>
        </w:tc>
        <w:tc>
          <w:tcPr>
            <w:tcW w:w="1015" w:type="pct"/>
            <w:tcBorders>
              <w:top w:val="nil"/>
              <w:left w:val="nil"/>
              <w:bottom w:val="single" w:color="auto" w:sz="4" w:space="0"/>
              <w:right w:val="single" w:color="auto"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default" w:ascii="Times New Roman" w:hAnsi="Times New Roman" w:eastAsia="方正仿宋简体" w:cs="Times New Roman"/>
                <w:b/>
                <w:bCs/>
                <w:color w:val="000000"/>
                <w:kern w:val="0"/>
                <w:sz w:val="32"/>
                <w:szCs w:val="32"/>
                <w:lang w:val="en-US" w:eastAsia="zh-CN" w:bidi="ar-SA"/>
              </w:rPr>
              <w:t>164.15%</w:t>
            </w:r>
          </w:p>
        </w:tc>
        <w:tc>
          <w:tcPr>
            <w:tcW w:w="945" w:type="pct"/>
            <w:tcBorders>
              <w:top w:val="nil"/>
              <w:left w:val="nil"/>
              <w:bottom w:val="single" w:color="auto" w:sz="4" w:space="0"/>
              <w:right w:val="single" w:color="auto" w:sz="8"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default" w:ascii="Times New Roman" w:hAnsi="Times New Roman" w:eastAsia="方正仿宋简体" w:cs="Times New Roman"/>
                <w:b/>
                <w:bCs/>
                <w:color w:val="000000"/>
                <w:kern w:val="0"/>
                <w:sz w:val="32"/>
                <w:szCs w:val="32"/>
                <w:lang w:val="en-US" w:eastAsia="zh-CN" w:bidi="ar-SA"/>
              </w:rPr>
              <w:t xml:space="preserve"> 86,362.00 </w:t>
            </w:r>
          </w:p>
        </w:tc>
      </w:tr>
      <w:tr>
        <w:tblPrEx>
          <w:tblCellMar>
            <w:top w:w="0" w:type="dxa"/>
            <w:left w:w="108" w:type="dxa"/>
            <w:bottom w:w="0" w:type="dxa"/>
            <w:right w:w="108" w:type="dxa"/>
          </w:tblCellMar>
        </w:tblPrEx>
        <w:trPr>
          <w:trHeight w:val="600" w:hRule="atLeast"/>
        </w:trPr>
        <w:tc>
          <w:tcPr>
            <w:tcW w:w="937" w:type="pct"/>
            <w:tcBorders>
              <w:top w:val="nil"/>
              <w:left w:val="single" w:color="auto" w:sz="8" w:space="0"/>
              <w:bottom w:val="single" w:color="auto" w:sz="4" w:space="0"/>
              <w:right w:val="single" w:color="auto"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spacing w:val="-6"/>
                <w:kern w:val="0"/>
                <w:sz w:val="32"/>
                <w:szCs w:val="32"/>
                <w:lang w:val="en-US" w:bidi="ar-SA"/>
              </w:rPr>
            </w:pPr>
            <w:r>
              <w:rPr>
                <w:rFonts w:hint="default" w:ascii="Times New Roman" w:hAnsi="Times New Roman" w:eastAsia="方正仿宋简体" w:cs="Times New Roman"/>
                <w:b/>
                <w:bCs/>
                <w:color w:val="000000"/>
                <w:spacing w:val="-6"/>
                <w:kern w:val="0"/>
                <w:sz w:val="32"/>
                <w:szCs w:val="32"/>
                <w:lang w:val="en-US" w:bidi="ar-SA"/>
              </w:rPr>
              <w:t>营业总成本</w:t>
            </w:r>
          </w:p>
        </w:tc>
        <w:tc>
          <w:tcPr>
            <w:tcW w:w="967" w:type="pct"/>
            <w:tcBorders>
              <w:top w:val="nil"/>
              <w:left w:val="nil"/>
              <w:bottom w:val="single" w:color="auto" w:sz="4" w:space="0"/>
              <w:right w:val="single" w:color="auto"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default" w:ascii="Times New Roman" w:hAnsi="Times New Roman" w:eastAsia="方正仿宋简体" w:cs="Times New Roman"/>
                <w:b/>
                <w:bCs/>
                <w:color w:val="000000"/>
                <w:kern w:val="0"/>
                <w:sz w:val="32"/>
                <w:szCs w:val="32"/>
                <w:lang w:val="en-US" w:eastAsia="zh-CN" w:bidi="ar-SA"/>
              </w:rPr>
              <w:t xml:space="preserve"> 137,545.00 </w:t>
            </w:r>
          </w:p>
        </w:tc>
        <w:tc>
          <w:tcPr>
            <w:tcW w:w="1134" w:type="pct"/>
            <w:tcBorders>
              <w:top w:val="nil"/>
              <w:left w:val="nil"/>
              <w:bottom w:val="single" w:color="auto" w:sz="4" w:space="0"/>
              <w:right w:val="single" w:color="auto"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default" w:ascii="Times New Roman" w:hAnsi="Times New Roman" w:eastAsia="方正仿宋简体" w:cs="Times New Roman"/>
                <w:b/>
                <w:bCs/>
                <w:color w:val="000000"/>
                <w:kern w:val="0"/>
                <w:sz w:val="32"/>
                <w:szCs w:val="32"/>
                <w:lang w:val="en-US" w:eastAsia="zh-CN" w:bidi="ar-SA"/>
              </w:rPr>
              <w:t xml:space="preserve"> 93,616.91 </w:t>
            </w:r>
          </w:p>
        </w:tc>
        <w:tc>
          <w:tcPr>
            <w:tcW w:w="1015" w:type="pct"/>
            <w:tcBorders>
              <w:top w:val="nil"/>
              <w:left w:val="nil"/>
              <w:bottom w:val="single" w:color="auto" w:sz="4" w:space="0"/>
              <w:right w:val="single" w:color="auto"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default" w:ascii="Times New Roman" w:hAnsi="Times New Roman" w:eastAsia="方正仿宋简体" w:cs="Times New Roman"/>
                <w:b/>
                <w:bCs/>
                <w:color w:val="000000"/>
                <w:kern w:val="0"/>
                <w:sz w:val="32"/>
                <w:szCs w:val="32"/>
                <w:lang w:val="en-US" w:eastAsia="zh-CN" w:bidi="ar-SA"/>
              </w:rPr>
              <w:t>146.92%</w:t>
            </w:r>
          </w:p>
        </w:tc>
        <w:tc>
          <w:tcPr>
            <w:tcW w:w="945" w:type="pct"/>
            <w:tcBorders>
              <w:top w:val="nil"/>
              <w:left w:val="nil"/>
              <w:bottom w:val="single" w:color="auto" w:sz="4" w:space="0"/>
              <w:right w:val="single" w:color="auto" w:sz="8"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default" w:ascii="Times New Roman" w:hAnsi="Times New Roman" w:eastAsia="方正仿宋简体" w:cs="Times New Roman"/>
                <w:b/>
                <w:bCs/>
                <w:color w:val="000000"/>
                <w:kern w:val="0"/>
                <w:sz w:val="32"/>
                <w:szCs w:val="32"/>
                <w:lang w:val="en-US" w:eastAsia="zh-CN" w:bidi="ar-SA"/>
              </w:rPr>
              <w:t xml:space="preserve"> 74,078.00 </w:t>
            </w:r>
          </w:p>
        </w:tc>
      </w:tr>
      <w:tr>
        <w:tblPrEx>
          <w:tblCellMar>
            <w:top w:w="0" w:type="dxa"/>
            <w:left w:w="108" w:type="dxa"/>
            <w:bottom w:w="0" w:type="dxa"/>
            <w:right w:w="108" w:type="dxa"/>
          </w:tblCellMar>
        </w:tblPrEx>
        <w:trPr>
          <w:trHeight w:val="600" w:hRule="atLeast"/>
        </w:trPr>
        <w:tc>
          <w:tcPr>
            <w:tcW w:w="937" w:type="pct"/>
            <w:tcBorders>
              <w:top w:val="nil"/>
              <w:left w:val="single" w:color="auto" w:sz="8" w:space="0"/>
              <w:bottom w:val="single" w:color="auto" w:sz="4" w:space="0"/>
              <w:right w:val="single" w:color="auto"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spacing w:val="-6"/>
                <w:kern w:val="0"/>
                <w:sz w:val="32"/>
                <w:szCs w:val="32"/>
                <w:lang w:val="en-US" w:bidi="ar-SA"/>
              </w:rPr>
            </w:pPr>
            <w:r>
              <w:rPr>
                <w:rFonts w:hint="default" w:ascii="Times New Roman" w:hAnsi="Times New Roman" w:eastAsia="方正仿宋简体" w:cs="Times New Roman"/>
                <w:b/>
                <w:bCs/>
                <w:color w:val="000000"/>
                <w:spacing w:val="-6"/>
                <w:kern w:val="0"/>
                <w:sz w:val="32"/>
                <w:szCs w:val="32"/>
                <w:lang w:val="en-US" w:bidi="ar-SA"/>
              </w:rPr>
              <w:t>利润总额</w:t>
            </w:r>
          </w:p>
        </w:tc>
        <w:tc>
          <w:tcPr>
            <w:tcW w:w="967" w:type="pct"/>
            <w:tcBorders>
              <w:top w:val="nil"/>
              <w:left w:val="nil"/>
              <w:bottom w:val="single" w:color="auto" w:sz="4" w:space="0"/>
              <w:right w:val="single" w:color="auto"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default" w:ascii="Times New Roman" w:hAnsi="Times New Roman" w:eastAsia="方正仿宋简体" w:cs="Times New Roman"/>
                <w:b/>
                <w:bCs/>
                <w:color w:val="000000"/>
                <w:kern w:val="0"/>
                <w:sz w:val="32"/>
                <w:szCs w:val="32"/>
                <w:lang w:val="en-US" w:eastAsia="zh-CN" w:bidi="ar-SA"/>
              </w:rPr>
              <w:t xml:space="preserve"> 19,827.00 </w:t>
            </w:r>
          </w:p>
        </w:tc>
        <w:tc>
          <w:tcPr>
            <w:tcW w:w="1134" w:type="pct"/>
            <w:tcBorders>
              <w:top w:val="nil"/>
              <w:left w:val="nil"/>
              <w:bottom w:val="single" w:color="auto" w:sz="4" w:space="0"/>
              <w:right w:val="single" w:color="auto"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default" w:ascii="Times New Roman" w:hAnsi="Times New Roman" w:eastAsia="方正仿宋简体" w:cs="Times New Roman"/>
                <w:b/>
                <w:bCs/>
                <w:color w:val="000000"/>
                <w:kern w:val="0"/>
                <w:sz w:val="32"/>
                <w:szCs w:val="32"/>
                <w:lang w:val="en-US" w:eastAsia="zh-CN" w:bidi="ar-SA"/>
              </w:rPr>
              <w:t xml:space="preserve"> 10,054.32 </w:t>
            </w:r>
          </w:p>
        </w:tc>
        <w:tc>
          <w:tcPr>
            <w:tcW w:w="1015" w:type="pct"/>
            <w:tcBorders>
              <w:top w:val="nil"/>
              <w:left w:val="nil"/>
              <w:bottom w:val="single" w:color="auto" w:sz="4" w:space="0"/>
              <w:right w:val="single" w:color="auto"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default" w:ascii="Times New Roman" w:hAnsi="Times New Roman" w:eastAsia="方正仿宋简体" w:cs="Times New Roman"/>
                <w:b/>
                <w:bCs/>
                <w:color w:val="000000"/>
                <w:kern w:val="0"/>
                <w:sz w:val="32"/>
                <w:szCs w:val="32"/>
                <w:lang w:val="en-US" w:eastAsia="zh-CN" w:bidi="ar-SA"/>
              </w:rPr>
              <w:t>197.20%</w:t>
            </w:r>
          </w:p>
        </w:tc>
        <w:tc>
          <w:tcPr>
            <w:tcW w:w="945" w:type="pct"/>
            <w:tcBorders>
              <w:top w:val="nil"/>
              <w:left w:val="nil"/>
              <w:bottom w:val="single" w:color="auto" w:sz="4" w:space="0"/>
              <w:right w:val="single" w:color="auto" w:sz="8"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default" w:ascii="Times New Roman" w:hAnsi="Times New Roman" w:eastAsia="方正仿宋简体" w:cs="Times New Roman"/>
                <w:b/>
                <w:bCs/>
                <w:color w:val="000000"/>
                <w:kern w:val="0"/>
                <w:sz w:val="32"/>
                <w:szCs w:val="32"/>
                <w:lang w:val="en-US" w:eastAsia="zh-CN" w:bidi="ar-SA"/>
              </w:rPr>
              <w:t xml:space="preserve"> 7,350.00 </w:t>
            </w:r>
          </w:p>
        </w:tc>
      </w:tr>
      <w:tr>
        <w:tblPrEx>
          <w:tblCellMar>
            <w:top w:w="0" w:type="dxa"/>
            <w:left w:w="108" w:type="dxa"/>
            <w:bottom w:w="0" w:type="dxa"/>
            <w:right w:w="108" w:type="dxa"/>
          </w:tblCellMar>
        </w:tblPrEx>
        <w:trPr>
          <w:trHeight w:val="600" w:hRule="atLeast"/>
        </w:trPr>
        <w:tc>
          <w:tcPr>
            <w:tcW w:w="937" w:type="pct"/>
            <w:tcBorders>
              <w:top w:val="nil"/>
              <w:left w:val="single" w:color="auto" w:sz="8" w:space="0"/>
              <w:bottom w:val="single" w:color="auto" w:sz="4" w:space="0"/>
              <w:right w:val="single" w:color="auto"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spacing w:val="-6"/>
                <w:kern w:val="0"/>
                <w:sz w:val="32"/>
                <w:szCs w:val="32"/>
                <w:lang w:val="en-US" w:bidi="ar-SA"/>
              </w:rPr>
            </w:pPr>
            <w:r>
              <w:rPr>
                <w:rFonts w:hint="default" w:ascii="Times New Roman" w:hAnsi="Times New Roman" w:eastAsia="方正仿宋简体" w:cs="Times New Roman"/>
                <w:b/>
                <w:bCs/>
                <w:color w:val="000000"/>
                <w:spacing w:val="-6"/>
                <w:kern w:val="0"/>
                <w:sz w:val="32"/>
                <w:szCs w:val="32"/>
                <w:lang w:val="en-US" w:bidi="ar-SA"/>
              </w:rPr>
              <w:t>净利润</w:t>
            </w:r>
          </w:p>
        </w:tc>
        <w:tc>
          <w:tcPr>
            <w:tcW w:w="967" w:type="pct"/>
            <w:tcBorders>
              <w:top w:val="nil"/>
              <w:left w:val="nil"/>
              <w:bottom w:val="single" w:color="auto" w:sz="4" w:space="0"/>
              <w:right w:val="single" w:color="auto"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default" w:ascii="Times New Roman" w:hAnsi="Times New Roman" w:eastAsia="方正仿宋简体" w:cs="Times New Roman"/>
                <w:b/>
                <w:bCs/>
                <w:color w:val="000000"/>
                <w:kern w:val="0"/>
                <w:sz w:val="32"/>
                <w:szCs w:val="32"/>
                <w:lang w:val="en-US" w:eastAsia="zh-CN" w:bidi="ar-SA"/>
              </w:rPr>
              <w:t xml:space="preserve"> 16,304.00 </w:t>
            </w:r>
          </w:p>
        </w:tc>
        <w:tc>
          <w:tcPr>
            <w:tcW w:w="1134" w:type="pct"/>
            <w:tcBorders>
              <w:top w:val="nil"/>
              <w:left w:val="nil"/>
              <w:bottom w:val="single" w:color="auto" w:sz="4" w:space="0"/>
              <w:right w:val="single" w:color="auto"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default" w:ascii="Times New Roman" w:hAnsi="Times New Roman" w:eastAsia="方正仿宋简体" w:cs="Times New Roman"/>
                <w:b/>
                <w:bCs/>
                <w:color w:val="000000"/>
                <w:kern w:val="0"/>
                <w:sz w:val="32"/>
                <w:szCs w:val="32"/>
                <w:lang w:val="en-US" w:eastAsia="zh-CN" w:bidi="ar-SA"/>
              </w:rPr>
              <w:t xml:space="preserve"> 6,767.02 </w:t>
            </w:r>
          </w:p>
        </w:tc>
        <w:tc>
          <w:tcPr>
            <w:tcW w:w="1015" w:type="pct"/>
            <w:tcBorders>
              <w:top w:val="nil"/>
              <w:left w:val="nil"/>
              <w:bottom w:val="single" w:color="auto" w:sz="4" w:space="0"/>
              <w:right w:val="single" w:color="auto"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default" w:ascii="Times New Roman" w:hAnsi="Times New Roman" w:eastAsia="方正仿宋简体" w:cs="Times New Roman"/>
                <w:b/>
                <w:bCs/>
                <w:color w:val="000000"/>
                <w:kern w:val="0"/>
                <w:sz w:val="32"/>
                <w:szCs w:val="32"/>
                <w:lang w:val="en-US" w:eastAsia="zh-CN" w:bidi="ar-SA"/>
              </w:rPr>
              <w:t>240.93%</w:t>
            </w:r>
          </w:p>
        </w:tc>
        <w:tc>
          <w:tcPr>
            <w:tcW w:w="945" w:type="pct"/>
            <w:tcBorders>
              <w:top w:val="nil"/>
              <w:left w:val="nil"/>
              <w:bottom w:val="single" w:color="auto" w:sz="4" w:space="0"/>
              <w:right w:val="single" w:color="auto" w:sz="8"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default" w:ascii="Times New Roman" w:hAnsi="Times New Roman" w:eastAsia="方正仿宋简体" w:cs="Times New Roman"/>
                <w:b/>
                <w:bCs/>
                <w:color w:val="000000"/>
                <w:kern w:val="0"/>
                <w:sz w:val="32"/>
                <w:szCs w:val="32"/>
                <w:lang w:val="en-US" w:eastAsia="zh-CN" w:bidi="ar-SA"/>
              </w:rPr>
              <w:t xml:space="preserve"> 7,350.00 </w:t>
            </w:r>
          </w:p>
        </w:tc>
      </w:tr>
      <w:tr>
        <w:tblPrEx>
          <w:tblCellMar>
            <w:top w:w="0" w:type="dxa"/>
            <w:left w:w="108" w:type="dxa"/>
            <w:bottom w:w="0" w:type="dxa"/>
            <w:right w:w="108" w:type="dxa"/>
          </w:tblCellMar>
        </w:tblPrEx>
        <w:trPr>
          <w:trHeight w:val="600" w:hRule="atLeast"/>
        </w:trPr>
        <w:tc>
          <w:tcPr>
            <w:tcW w:w="937" w:type="pct"/>
            <w:tcBorders>
              <w:top w:val="nil"/>
              <w:left w:val="single" w:color="auto" w:sz="8" w:space="0"/>
              <w:bottom w:val="single" w:color="auto" w:sz="4" w:space="0"/>
              <w:right w:val="single" w:color="auto"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spacing w:val="-6"/>
                <w:kern w:val="0"/>
                <w:sz w:val="32"/>
                <w:szCs w:val="32"/>
                <w:lang w:val="en-US" w:bidi="ar-SA"/>
              </w:rPr>
            </w:pPr>
            <w:r>
              <w:rPr>
                <w:rFonts w:hint="default" w:ascii="Times New Roman" w:hAnsi="Times New Roman" w:eastAsia="方正仿宋简体" w:cs="Times New Roman"/>
                <w:b/>
                <w:bCs/>
                <w:color w:val="000000"/>
                <w:spacing w:val="-6"/>
                <w:kern w:val="0"/>
                <w:sz w:val="32"/>
                <w:szCs w:val="32"/>
                <w:lang w:val="en-US" w:bidi="ar-SA"/>
              </w:rPr>
              <w:t>资产总额</w:t>
            </w:r>
          </w:p>
        </w:tc>
        <w:tc>
          <w:tcPr>
            <w:tcW w:w="967" w:type="pct"/>
            <w:tcBorders>
              <w:top w:val="nil"/>
              <w:left w:val="nil"/>
              <w:bottom w:val="single" w:color="auto" w:sz="4" w:space="0"/>
              <w:right w:val="single" w:color="auto"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default" w:ascii="Times New Roman" w:hAnsi="Times New Roman" w:eastAsia="方正仿宋简体" w:cs="Times New Roman"/>
                <w:b/>
                <w:bCs/>
                <w:color w:val="000000"/>
                <w:spacing w:val="-6"/>
                <w:kern w:val="0"/>
                <w:sz w:val="32"/>
                <w:szCs w:val="32"/>
                <w:lang w:val="en-US" w:eastAsia="zh-CN" w:bidi="ar-SA"/>
              </w:rPr>
              <w:t xml:space="preserve">1,163,659.00 </w:t>
            </w:r>
          </w:p>
        </w:tc>
        <w:tc>
          <w:tcPr>
            <w:tcW w:w="1134" w:type="pct"/>
            <w:tcBorders>
              <w:top w:val="nil"/>
              <w:left w:val="nil"/>
              <w:bottom w:val="single" w:color="auto" w:sz="4" w:space="0"/>
              <w:right w:val="single" w:color="auto"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default" w:ascii="Times New Roman" w:hAnsi="Times New Roman" w:eastAsia="方正仿宋简体" w:cs="Times New Roman"/>
                <w:b/>
                <w:bCs/>
                <w:color w:val="000000"/>
                <w:kern w:val="0"/>
                <w:sz w:val="32"/>
                <w:szCs w:val="32"/>
                <w:lang w:val="en-US" w:eastAsia="zh-CN" w:bidi="ar-SA"/>
              </w:rPr>
              <w:t xml:space="preserve">1,139,595.23 </w:t>
            </w:r>
          </w:p>
        </w:tc>
        <w:tc>
          <w:tcPr>
            <w:tcW w:w="1015" w:type="pct"/>
            <w:tcBorders>
              <w:top w:val="nil"/>
              <w:left w:val="nil"/>
              <w:bottom w:val="single" w:color="auto" w:sz="4" w:space="0"/>
              <w:right w:val="single" w:color="auto"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default" w:ascii="Times New Roman" w:hAnsi="Times New Roman" w:eastAsia="方正仿宋简体" w:cs="Times New Roman"/>
                <w:b/>
                <w:bCs/>
                <w:color w:val="000000"/>
                <w:kern w:val="0"/>
                <w:sz w:val="32"/>
                <w:szCs w:val="32"/>
                <w:lang w:val="en-US" w:eastAsia="zh-CN" w:bidi="ar-SA"/>
              </w:rPr>
              <w:t>102.11%</w:t>
            </w:r>
          </w:p>
        </w:tc>
        <w:tc>
          <w:tcPr>
            <w:tcW w:w="945" w:type="pct"/>
            <w:tcBorders>
              <w:top w:val="nil"/>
              <w:left w:val="nil"/>
              <w:bottom w:val="single" w:color="auto" w:sz="4" w:space="0"/>
              <w:right w:val="single" w:color="auto" w:sz="8"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default" w:ascii="Times New Roman" w:hAnsi="Times New Roman" w:eastAsia="方正仿宋简体" w:cs="Times New Roman"/>
                <w:b/>
                <w:bCs/>
                <w:color w:val="000000"/>
                <w:kern w:val="0"/>
                <w:sz w:val="32"/>
                <w:szCs w:val="32"/>
                <w:lang w:val="en-US" w:eastAsia="zh-CN" w:bidi="ar-SA"/>
              </w:rPr>
              <w:t xml:space="preserve">986,900.00 </w:t>
            </w:r>
          </w:p>
        </w:tc>
      </w:tr>
      <w:tr>
        <w:tblPrEx>
          <w:tblCellMar>
            <w:top w:w="0" w:type="dxa"/>
            <w:left w:w="108" w:type="dxa"/>
            <w:bottom w:w="0" w:type="dxa"/>
            <w:right w:w="108" w:type="dxa"/>
          </w:tblCellMar>
        </w:tblPrEx>
        <w:trPr>
          <w:trHeight w:val="600" w:hRule="atLeast"/>
        </w:trPr>
        <w:tc>
          <w:tcPr>
            <w:tcW w:w="937" w:type="pct"/>
            <w:tcBorders>
              <w:top w:val="nil"/>
              <w:left w:val="single" w:color="auto" w:sz="8" w:space="0"/>
              <w:bottom w:val="single" w:color="auto" w:sz="4" w:space="0"/>
              <w:right w:val="single" w:color="auto"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spacing w:val="-6"/>
                <w:kern w:val="0"/>
                <w:sz w:val="32"/>
                <w:szCs w:val="32"/>
                <w:lang w:val="en-US" w:bidi="ar-SA"/>
              </w:rPr>
            </w:pPr>
            <w:r>
              <w:rPr>
                <w:rFonts w:hint="default" w:ascii="Times New Roman" w:hAnsi="Times New Roman" w:eastAsia="方正仿宋简体" w:cs="Times New Roman"/>
                <w:b/>
                <w:bCs/>
                <w:color w:val="000000"/>
                <w:spacing w:val="-6"/>
                <w:kern w:val="0"/>
                <w:sz w:val="32"/>
                <w:szCs w:val="32"/>
                <w:lang w:val="en-US" w:bidi="ar-SA"/>
              </w:rPr>
              <w:t>负债总额</w:t>
            </w:r>
          </w:p>
        </w:tc>
        <w:tc>
          <w:tcPr>
            <w:tcW w:w="967" w:type="pct"/>
            <w:tcBorders>
              <w:top w:val="nil"/>
              <w:left w:val="nil"/>
              <w:bottom w:val="single" w:color="auto" w:sz="4" w:space="0"/>
              <w:right w:val="single" w:color="auto"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default" w:ascii="Times New Roman" w:hAnsi="Times New Roman" w:eastAsia="方正仿宋简体" w:cs="Times New Roman"/>
                <w:b/>
                <w:bCs/>
                <w:color w:val="000000"/>
                <w:kern w:val="0"/>
                <w:sz w:val="32"/>
                <w:szCs w:val="32"/>
                <w:lang w:val="en-US" w:eastAsia="zh-CN" w:bidi="ar-SA"/>
              </w:rPr>
              <w:t xml:space="preserve"> 958,467.00 </w:t>
            </w:r>
          </w:p>
        </w:tc>
        <w:tc>
          <w:tcPr>
            <w:tcW w:w="1134" w:type="pct"/>
            <w:tcBorders>
              <w:top w:val="nil"/>
              <w:left w:val="nil"/>
              <w:bottom w:val="single" w:color="auto" w:sz="4" w:space="0"/>
              <w:right w:val="single" w:color="auto"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default" w:ascii="Times New Roman" w:hAnsi="Times New Roman" w:eastAsia="方正仿宋简体" w:cs="Times New Roman"/>
                <w:b/>
                <w:bCs/>
                <w:color w:val="000000"/>
                <w:kern w:val="0"/>
                <w:sz w:val="32"/>
                <w:szCs w:val="32"/>
                <w:lang w:val="en-US" w:eastAsia="zh-CN" w:bidi="ar-SA"/>
              </w:rPr>
              <w:t xml:space="preserve"> 943,894.58 </w:t>
            </w:r>
          </w:p>
        </w:tc>
        <w:tc>
          <w:tcPr>
            <w:tcW w:w="1015" w:type="pct"/>
            <w:tcBorders>
              <w:top w:val="nil"/>
              <w:left w:val="nil"/>
              <w:bottom w:val="single" w:color="auto" w:sz="4" w:space="0"/>
              <w:right w:val="single" w:color="auto"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default" w:ascii="Times New Roman" w:hAnsi="Times New Roman" w:eastAsia="方正仿宋简体" w:cs="Times New Roman"/>
                <w:b/>
                <w:bCs/>
                <w:color w:val="000000"/>
                <w:kern w:val="0"/>
                <w:sz w:val="32"/>
                <w:szCs w:val="32"/>
                <w:lang w:val="en-US" w:eastAsia="zh-CN" w:bidi="ar-SA"/>
              </w:rPr>
              <w:t>101.54%</w:t>
            </w:r>
          </w:p>
        </w:tc>
        <w:tc>
          <w:tcPr>
            <w:tcW w:w="945" w:type="pct"/>
            <w:tcBorders>
              <w:top w:val="nil"/>
              <w:left w:val="nil"/>
              <w:bottom w:val="single" w:color="auto" w:sz="4" w:space="0"/>
              <w:right w:val="single" w:color="auto" w:sz="8"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default" w:ascii="Times New Roman" w:hAnsi="Times New Roman" w:eastAsia="方正仿宋简体" w:cs="Times New Roman"/>
                <w:b/>
                <w:bCs/>
                <w:color w:val="000000"/>
                <w:kern w:val="0"/>
                <w:sz w:val="32"/>
                <w:szCs w:val="32"/>
                <w:lang w:val="en-US" w:eastAsia="zh-CN" w:bidi="ar-SA"/>
              </w:rPr>
              <w:t xml:space="preserve">796,849.00 </w:t>
            </w:r>
          </w:p>
        </w:tc>
      </w:tr>
      <w:tr>
        <w:tblPrEx>
          <w:tblCellMar>
            <w:top w:w="0" w:type="dxa"/>
            <w:left w:w="108" w:type="dxa"/>
            <w:bottom w:w="0" w:type="dxa"/>
            <w:right w:w="108" w:type="dxa"/>
          </w:tblCellMar>
        </w:tblPrEx>
        <w:trPr>
          <w:trHeight w:val="600" w:hRule="atLeast"/>
        </w:trPr>
        <w:tc>
          <w:tcPr>
            <w:tcW w:w="937" w:type="pct"/>
            <w:tcBorders>
              <w:top w:val="nil"/>
              <w:left w:val="single" w:color="auto" w:sz="8" w:space="0"/>
              <w:bottom w:val="single" w:color="auto" w:sz="8" w:space="0"/>
              <w:right w:val="single" w:color="auto"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spacing w:val="-6"/>
                <w:kern w:val="0"/>
                <w:sz w:val="32"/>
                <w:szCs w:val="32"/>
                <w:lang w:val="en-US" w:bidi="ar-SA"/>
              </w:rPr>
            </w:pPr>
            <w:r>
              <w:rPr>
                <w:rFonts w:hint="default" w:ascii="Times New Roman" w:hAnsi="Times New Roman" w:eastAsia="方正仿宋简体" w:cs="Times New Roman"/>
                <w:b/>
                <w:bCs/>
                <w:color w:val="000000"/>
                <w:spacing w:val="-6"/>
                <w:kern w:val="0"/>
                <w:sz w:val="32"/>
                <w:szCs w:val="32"/>
                <w:lang w:val="en-US" w:bidi="ar-SA"/>
              </w:rPr>
              <w:t>所有者权益</w:t>
            </w:r>
          </w:p>
        </w:tc>
        <w:tc>
          <w:tcPr>
            <w:tcW w:w="967" w:type="pct"/>
            <w:tcBorders>
              <w:top w:val="nil"/>
              <w:left w:val="nil"/>
              <w:bottom w:val="single" w:color="auto" w:sz="8" w:space="0"/>
              <w:right w:val="single" w:color="auto"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default" w:ascii="Times New Roman" w:hAnsi="Times New Roman" w:eastAsia="方正仿宋简体" w:cs="Times New Roman"/>
                <w:b/>
                <w:bCs/>
                <w:color w:val="000000"/>
                <w:kern w:val="0"/>
                <w:sz w:val="32"/>
                <w:szCs w:val="32"/>
                <w:lang w:val="en-US" w:eastAsia="zh-CN" w:bidi="ar-SA"/>
              </w:rPr>
              <w:t xml:space="preserve"> 205,192.00 </w:t>
            </w:r>
          </w:p>
        </w:tc>
        <w:tc>
          <w:tcPr>
            <w:tcW w:w="1134" w:type="pct"/>
            <w:tcBorders>
              <w:top w:val="nil"/>
              <w:left w:val="nil"/>
              <w:bottom w:val="single" w:color="auto" w:sz="8" w:space="0"/>
              <w:right w:val="single" w:color="auto"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default" w:ascii="Times New Roman" w:hAnsi="Times New Roman" w:eastAsia="方正仿宋简体" w:cs="Times New Roman"/>
                <w:b/>
                <w:bCs/>
                <w:color w:val="000000"/>
                <w:kern w:val="0"/>
                <w:sz w:val="32"/>
                <w:szCs w:val="32"/>
                <w:lang w:val="en-US" w:eastAsia="zh-CN" w:bidi="ar-SA"/>
              </w:rPr>
              <w:t xml:space="preserve"> 195,700.65 </w:t>
            </w:r>
          </w:p>
        </w:tc>
        <w:tc>
          <w:tcPr>
            <w:tcW w:w="1015" w:type="pct"/>
            <w:tcBorders>
              <w:top w:val="nil"/>
              <w:left w:val="nil"/>
              <w:bottom w:val="single" w:color="auto" w:sz="8" w:space="0"/>
              <w:right w:val="single" w:color="auto" w:sz="4"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default" w:ascii="Times New Roman" w:hAnsi="Times New Roman" w:eastAsia="方正仿宋简体" w:cs="Times New Roman"/>
                <w:b/>
                <w:bCs/>
                <w:color w:val="000000"/>
                <w:kern w:val="0"/>
                <w:sz w:val="32"/>
                <w:szCs w:val="32"/>
                <w:lang w:val="en-US" w:eastAsia="zh-CN" w:bidi="ar-SA"/>
              </w:rPr>
              <w:t>104.85%</w:t>
            </w:r>
          </w:p>
        </w:tc>
        <w:tc>
          <w:tcPr>
            <w:tcW w:w="945" w:type="pct"/>
            <w:tcBorders>
              <w:top w:val="nil"/>
              <w:left w:val="nil"/>
              <w:bottom w:val="single" w:color="auto" w:sz="8" w:space="0"/>
              <w:right w:val="single" w:color="auto" w:sz="8" w:space="0"/>
            </w:tcBorders>
            <w:shd w:val="clear" w:color="auto" w:fill="auto"/>
            <w:noWrap/>
            <w:vAlign w:val="center"/>
          </w:tcPr>
          <w:p>
            <w:pPr>
              <w:pStyle w:val="3"/>
              <w:widowControl w:val="0"/>
              <w:numPr>
                <w:ilvl w:val="0"/>
                <w:numId w:val="0"/>
              </w:numPr>
              <w:autoSpaceDE w:val="0"/>
              <w:autoSpaceDN w:val="0"/>
              <w:spacing w:line="600" w:lineRule="exact"/>
              <w:jc w:val="center"/>
              <w:rPr>
                <w:rFonts w:hint="default" w:ascii="Times New Roman" w:hAnsi="Times New Roman" w:eastAsia="方正仿宋简体" w:cs="Times New Roman"/>
                <w:b/>
                <w:bCs/>
                <w:color w:val="000000"/>
                <w:kern w:val="0"/>
                <w:sz w:val="32"/>
                <w:szCs w:val="32"/>
                <w:lang w:val="en-US" w:bidi="ar-SA"/>
              </w:rPr>
            </w:pPr>
            <w:r>
              <w:rPr>
                <w:rFonts w:hint="default" w:ascii="Times New Roman" w:hAnsi="Times New Roman" w:eastAsia="方正仿宋简体" w:cs="Times New Roman"/>
                <w:b/>
                <w:bCs/>
                <w:color w:val="000000"/>
                <w:kern w:val="0"/>
                <w:sz w:val="32"/>
                <w:szCs w:val="32"/>
                <w:lang w:val="en-US" w:eastAsia="zh-CN" w:bidi="ar-SA"/>
              </w:rPr>
              <w:t xml:space="preserve">190,051.00 </w:t>
            </w:r>
          </w:p>
        </w:tc>
      </w:tr>
    </w:tbl>
    <w:p>
      <w:pPr>
        <w:snapToGrid w:val="0"/>
        <w:spacing w:line="600" w:lineRule="exact"/>
        <w:ind w:firstLine="643" w:firstLineChars="200"/>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sz w:val="32"/>
          <w:szCs w:val="32"/>
        </w:rPr>
        <w:t>三、财务预算执行情况</w:t>
      </w:r>
    </w:p>
    <w:p>
      <w:pPr>
        <w:pStyle w:val="12"/>
        <w:keepNext w:val="0"/>
        <w:keepLines w:val="0"/>
        <w:pageBreakBefore w:val="0"/>
        <w:widowControl w:val="0"/>
        <w:kinsoku/>
        <w:wordWrap/>
        <w:overflowPunct/>
        <w:topLinePunct w:val="0"/>
        <w:autoSpaceDE w:val="0"/>
        <w:autoSpaceDN w:val="0"/>
        <w:bidi w:val="0"/>
        <w:adjustRightInd w:val="0"/>
        <w:snapToGrid/>
        <w:spacing w:line="600" w:lineRule="exact"/>
        <w:ind w:firstLine="643" w:firstLineChars="200"/>
        <w:jc w:val="both"/>
        <w:textAlignment w:val="auto"/>
        <w:rPr>
          <w:rFonts w:hint="default" w:ascii="Times New Roman" w:hAnsi="Times New Roman" w:eastAsia="方正仿宋简体" w:cs="Times New Roman"/>
          <w:b/>
          <w:bCs/>
          <w:color w:val="auto"/>
          <w:kern w:val="2"/>
          <w:sz w:val="32"/>
          <w:szCs w:val="32"/>
        </w:rPr>
      </w:pPr>
      <w:r>
        <w:rPr>
          <w:rFonts w:hint="default" w:ascii="Times New Roman" w:hAnsi="Times New Roman" w:eastAsia="方正仿宋简体" w:cs="Times New Roman"/>
          <w:b/>
          <w:bCs/>
          <w:color w:val="auto"/>
          <w:kern w:val="2"/>
          <w:sz w:val="32"/>
          <w:szCs w:val="32"/>
          <w:lang w:val="en-US" w:eastAsia="zh-CN"/>
        </w:rPr>
        <w:t>2023年上半年</w:t>
      </w:r>
      <w:r>
        <w:rPr>
          <w:rFonts w:hint="default" w:ascii="Times New Roman" w:hAnsi="Times New Roman" w:eastAsia="方正仿宋简体" w:cs="Times New Roman"/>
          <w:b/>
          <w:bCs/>
          <w:color w:val="auto"/>
          <w:kern w:val="2"/>
          <w:sz w:val="32"/>
          <w:szCs w:val="32"/>
        </w:rPr>
        <w:t>置业集团合并口径：累计实现营业收入</w:t>
      </w:r>
      <w:r>
        <w:rPr>
          <w:rFonts w:hint="default" w:ascii="Times New Roman" w:hAnsi="Times New Roman" w:eastAsia="方正仿宋简体" w:cs="Times New Roman"/>
          <w:b/>
          <w:bCs/>
          <w:color w:val="auto"/>
          <w:kern w:val="2"/>
          <w:sz w:val="32"/>
          <w:szCs w:val="32"/>
          <w:lang w:val="en-US" w:eastAsia="zh-CN"/>
        </w:rPr>
        <w:t>16.6</w:t>
      </w:r>
      <w:r>
        <w:rPr>
          <w:rFonts w:hint="default" w:ascii="Times New Roman" w:hAnsi="Times New Roman" w:eastAsia="方正仿宋简体" w:cs="Times New Roman"/>
          <w:b/>
          <w:bCs/>
          <w:color w:val="auto"/>
          <w:kern w:val="2"/>
          <w:sz w:val="32"/>
          <w:szCs w:val="32"/>
        </w:rPr>
        <w:t>亿元，完成全年预算10.1亿元的</w:t>
      </w:r>
      <w:r>
        <w:rPr>
          <w:rFonts w:hint="default" w:ascii="Times New Roman" w:hAnsi="Times New Roman" w:eastAsia="方正仿宋简体" w:cs="Times New Roman"/>
          <w:b/>
          <w:bCs/>
          <w:color w:val="auto"/>
          <w:kern w:val="2"/>
          <w:sz w:val="32"/>
          <w:szCs w:val="32"/>
          <w:lang w:val="en-US" w:eastAsia="zh-CN"/>
        </w:rPr>
        <w:t>164.15</w:t>
      </w:r>
      <w:r>
        <w:rPr>
          <w:rFonts w:hint="default" w:ascii="Times New Roman" w:hAnsi="Times New Roman" w:eastAsia="方正仿宋简体" w:cs="Times New Roman"/>
          <w:b/>
          <w:bCs/>
          <w:color w:val="auto"/>
          <w:kern w:val="2"/>
          <w:sz w:val="32"/>
          <w:szCs w:val="32"/>
        </w:rPr>
        <w:t>%；累计实现利润总额</w:t>
      </w:r>
      <w:r>
        <w:rPr>
          <w:rFonts w:hint="default" w:ascii="Times New Roman" w:hAnsi="Times New Roman" w:eastAsia="方正仿宋简体" w:cs="Times New Roman"/>
          <w:b/>
          <w:bCs/>
          <w:color w:val="auto"/>
          <w:kern w:val="2"/>
          <w:sz w:val="32"/>
          <w:szCs w:val="32"/>
          <w:lang w:val="en-US" w:eastAsia="zh-CN"/>
        </w:rPr>
        <w:t>1.98亿</w:t>
      </w:r>
      <w:r>
        <w:rPr>
          <w:rFonts w:hint="default" w:ascii="Times New Roman" w:hAnsi="Times New Roman" w:eastAsia="方正仿宋简体" w:cs="Times New Roman"/>
          <w:b/>
          <w:bCs/>
          <w:color w:val="auto"/>
          <w:kern w:val="2"/>
          <w:sz w:val="32"/>
          <w:szCs w:val="32"/>
        </w:rPr>
        <w:t>元，完成全年预算1亿元的</w:t>
      </w:r>
      <w:r>
        <w:rPr>
          <w:rFonts w:hint="default" w:ascii="Times New Roman" w:hAnsi="Times New Roman" w:eastAsia="方正仿宋简体" w:cs="Times New Roman"/>
          <w:b/>
          <w:bCs/>
          <w:color w:val="auto"/>
          <w:kern w:val="2"/>
          <w:sz w:val="32"/>
          <w:szCs w:val="32"/>
          <w:lang w:val="en-US" w:eastAsia="zh-CN"/>
        </w:rPr>
        <w:t>197.20</w:t>
      </w:r>
      <w:r>
        <w:rPr>
          <w:rFonts w:hint="default" w:ascii="Times New Roman" w:hAnsi="Times New Roman" w:eastAsia="方正仿宋简体" w:cs="Times New Roman"/>
          <w:b/>
          <w:bCs/>
          <w:color w:val="auto"/>
          <w:kern w:val="2"/>
          <w:sz w:val="32"/>
          <w:szCs w:val="32"/>
        </w:rPr>
        <w:t>%；累计实现净利润</w:t>
      </w:r>
      <w:r>
        <w:rPr>
          <w:rFonts w:hint="default" w:ascii="Times New Roman" w:hAnsi="Times New Roman" w:eastAsia="方正仿宋简体" w:cs="Times New Roman"/>
          <w:b/>
          <w:bCs/>
          <w:color w:val="auto"/>
          <w:kern w:val="2"/>
          <w:sz w:val="32"/>
          <w:szCs w:val="32"/>
          <w:lang w:val="en-US" w:eastAsia="zh-CN"/>
        </w:rPr>
        <w:t>1.63亿</w:t>
      </w:r>
      <w:r>
        <w:rPr>
          <w:rFonts w:hint="default" w:ascii="Times New Roman" w:hAnsi="Times New Roman" w:eastAsia="方正仿宋简体" w:cs="Times New Roman"/>
          <w:b/>
          <w:bCs/>
          <w:color w:val="auto"/>
          <w:kern w:val="2"/>
          <w:sz w:val="32"/>
          <w:szCs w:val="32"/>
        </w:rPr>
        <w:t>元，完成全年预算6767万元的</w:t>
      </w:r>
      <w:r>
        <w:rPr>
          <w:rFonts w:hint="default" w:ascii="Times New Roman" w:hAnsi="Times New Roman" w:eastAsia="方正仿宋简体" w:cs="Times New Roman"/>
          <w:b/>
          <w:bCs/>
          <w:color w:val="auto"/>
          <w:kern w:val="2"/>
          <w:sz w:val="32"/>
          <w:szCs w:val="32"/>
          <w:lang w:val="en-US" w:eastAsia="zh-CN"/>
        </w:rPr>
        <w:t>240.93</w:t>
      </w:r>
      <w:r>
        <w:rPr>
          <w:rFonts w:hint="default" w:ascii="Times New Roman" w:hAnsi="Times New Roman" w:eastAsia="方正仿宋简体" w:cs="Times New Roman"/>
          <w:b/>
          <w:bCs/>
          <w:color w:val="auto"/>
          <w:kern w:val="2"/>
          <w:sz w:val="32"/>
          <w:szCs w:val="32"/>
        </w:rPr>
        <w:t>%，较好</w:t>
      </w:r>
      <w:r>
        <w:rPr>
          <w:rFonts w:hint="default" w:ascii="Times New Roman" w:hAnsi="Times New Roman" w:eastAsia="方正仿宋简体" w:cs="Times New Roman"/>
          <w:b/>
          <w:bCs/>
          <w:color w:val="auto"/>
          <w:kern w:val="2"/>
          <w:sz w:val="32"/>
          <w:szCs w:val="32"/>
          <w:lang w:eastAsia="zh-CN"/>
        </w:rPr>
        <w:t>地</w:t>
      </w:r>
      <w:r>
        <w:rPr>
          <w:rFonts w:hint="default" w:ascii="Times New Roman" w:hAnsi="Times New Roman" w:eastAsia="方正仿宋简体" w:cs="Times New Roman"/>
          <w:b/>
          <w:bCs/>
          <w:color w:val="auto"/>
          <w:kern w:val="2"/>
          <w:sz w:val="32"/>
          <w:szCs w:val="32"/>
        </w:rPr>
        <w:t>完成了预算分解目标。</w:t>
      </w:r>
      <w:r>
        <w:rPr>
          <w:rFonts w:hint="default" w:ascii="Times New Roman" w:hAnsi="Times New Roman" w:eastAsia="方正仿宋简体" w:cs="Times New Roman"/>
          <w:b/>
          <w:bCs/>
          <w:color w:val="auto"/>
          <w:kern w:val="2"/>
          <w:sz w:val="32"/>
          <w:szCs w:val="32"/>
          <w:lang w:val="en-US" w:eastAsia="zh-CN"/>
        </w:rPr>
        <w:t>6</w:t>
      </w:r>
      <w:r>
        <w:rPr>
          <w:rFonts w:hint="default" w:ascii="Times New Roman" w:hAnsi="Times New Roman" w:eastAsia="方正仿宋简体" w:cs="Times New Roman"/>
          <w:b/>
          <w:bCs/>
          <w:color w:val="auto"/>
          <w:kern w:val="2"/>
          <w:sz w:val="32"/>
          <w:szCs w:val="32"/>
        </w:rPr>
        <w:t>月底资产负债率</w:t>
      </w:r>
      <w:r>
        <w:rPr>
          <w:rFonts w:hint="default" w:ascii="Times New Roman" w:hAnsi="Times New Roman" w:eastAsia="方正仿宋简体" w:cs="Times New Roman"/>
          <w:b/>
          <w:bCs/>
          <w:color w:val="auto"/>
          <w:kern w:val="2"/>
          <w:sz w:val="32"/>
          <w:szCs w:val="32"/>
          <w:lang w:val="en-US" w:eastAsia="zh-CN"/>
        </w:rPr>
        <w:t>82.37</w:t>
      </w:r>
      <w:r>
        <w:rPr>
          <w:rFonts w:hint="default" w:ascii="Times New Roman" w:hAnsi="Times New Roman" w:eastAsia="方正仿宋简体" w:cs="Times New Roman"/>
          <w:b/>
          <w:bCs/>
          <w:color w:val="auto"/>
          <w:kern w:val="2"/>
          <w:sz w:val="32"/>
          <w:szCs w:val="32"/>
        </w:rPr>
        <w:t>%，</w:t>
      </w:r>
      <w:r>
        <w:rPr>
          <w:rFonts w:hint="default" w:ascii="Times New Roman" w:hAnsi="Times New Roman" w:eastAsia="方正仿宋简体" w:cs="Times New Roman"/>
          <w:b/>
          <w:bCs/>
          <w:color w:val="auto"/>
          <w:kern w:val="2"/>
          <w:sz w:val="32"/>
          <w:szCs w:val="32"/>
          <w:lang w:eastAsia="zh-CN"/>
        </w:rPr>
        <w:t>较上年同期</w:t>
      </w:r>
      <w:r>
        <w:rPr>
          <w:rFonts w:hint="default" w:ascii="Times New Roman" w:hAnsi="Times New Roman" w:eastAsia="方正仿宋简体" w:cs="Times New Roman"/>
          <w:b/>
          <w:bCs/>
          <w:color w:val="auto"/>
          <w:kern w:val="2"/>
          <w:sz w:val="32"/>
          <w:szCs w:val="32"/>
        </w:rPr>
        <w:t>的</w:t>
      </w:r>
      <w:r>
        <w:rPr>
          <w:rFonts w:hint="default" w:ascii="Times New Roman" w:hAnsi="Times New Roman" w:eastAsia="方正仿宋简体" w:cs="Times New Roman"/>
          <w:b/>
          <w:bCs/>
          <w:color w:val="auto"/>
          <w:kern w:val="2"/>
          <w:sz w:val="32"/>
          <w:szCs w:val="32"/>
          <w:lang w:val="en-US" w:eastAsia="zh-CN"/>
        </w:rPr>
        <w:t>80.74</w:t>
      </w:r>
      <w:r>
        <w:rPr>
          <w:rFonts w:hint="default" w:ascii="Times New Roman" w:hAnsi="Times New Roman" w:eastAsia="方正仿宋简体" w:cs="Times New Roman"/>
          <w:b/>
          <w:bCs/>
          <w:color w:val="auto"/>
          <w:kern w:val="2"/>
          <w:sz w:val="32"/>
          <w:szCs w:val="32"/>
        </w:rPr>
        <w:t>%增加了1.</w:t>
      </w:r>
      <w:r>
        <w:rPr>
          <w:rFonts w:hint="default" w:ascii="Times New Roman" w:hAnsi="Times New Roman" w:eastAsia="方正仿宋简体" w:cs="Times New Roman"/>
          <w:b/>
          <w:bCs/>
          <w:color w:val="auto"/>
          <w:kern w:val="2"/>
          <w:sz w:val="32"/>
          <w:szCs w:val="32"/>
          <w:lang w:val="en-US" w:eastAsia="zh-CN"/>
        </w:rPr>
        <w:t>63</w:t>
      </w:r>
      <w:r>
        <w:rPr>
          <w:rFonts w:hint="default" w:ascii="Times New Roman" w:hAnsi="Times New Roman" w:eastAsia="方正仿宋简体" w:cs="Times New Roman"/>
          <w:b/>
          <w:bCs/>
          <w:color w:val="auto"/>
          <w:kern w:val="2"/>
          <w:sz w:val="32"/>
          <w:szCs w:val="32"/>
        </w:rPr>
        <w:t>个百分点。</w:t>
      </w:r>
    </w:p>
    <w:p>
      <w:pPr>
        <w:snapToGrid w:val="0"/>
        <w:spacing w:line="600" w:lineRule="exact"/>
        <w:ind w:firstLine="643" w:firstLineChars="200"/>
        <w:rPr>
          <w:rFonts w:hint="default" w:ascii="Times New Roman" w:hAnsi="Times New Roman" w:eastAsia="方正仿宋简体" w:cs="Times New Roman"/>
          <w:b/>
          <w:bCs/>
          <w:sz w:val="32"/>
          <w:szCs w:val="32"/>
        </w:rPr>
      </w:pPr>
    </w:p>
    <w:p>
      <w:pPr>
        <w:snapToGrid w:val="0"/>
        <w:spacing w:line="600" w:lineRule="exact"/>
        <w:ind w:left="420" w:leftChars="200"/>
        <w:rPr>
          <w:rFonts w:hint="default" w:ascii="Times New Roman" w:hAnsi="Times New Roman" w:eastAsia="方正黑体简体" w:cs="Times New Roman"/>
          <w:b/>
          <w:bCs/>
          <w:sz w:val="32"/>
          <w:szCs w:val="32"/>
        </w:rPr>
      </w:pPr>
    </w:p>
    <w:sectPr>
      <w:footerReference r:id="rId3" w:type="default"/>
      <w:pgSz w:w="11906" w:h="16838"/>
      <w:pgMar w:top="2098" w:right="1474" w:bottom="1587"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 w:name="方正楷体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5"/>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RjMmY4YTczNzBiOTI0YmViYjA3ZDFiYTIwNDUwYTEifQ=="/>
  </w:docVars>
  <w:rsids>
    <w:rsidRoot w:val="28E8704B"/>
    <w:rsid w:val="00023E53"/>
    <w:rsid w:val="00064C10"/>
    <w:rsid w:val="0008486A"/>
    <w:rsid w:val="000B768B"/>
    <w:rsid w:val="000F4906"/>
    <w:rsid w:val="001048D2"/>
    <w:rsid w:val="001225CF"/>
    <w:rsid w:val="00136B6E"/>
    <w:rsid w:val="0016636E"/>
    <w:rsid w:val="00173818"/>
    <w:rsid w:val="001E70D3"/>
    <w:rsid w:val="001F0930"/>
    <w:rsid w:val="002659B0"/>
    <w:rsid w:val="0027474F"/>
    <w:rsid w:val="002F0D05"/>
    <w:rsid w:val="0033664A"/>
    <w:rsid w:val="00387CC5"/>
    <w:rsid w:val="003A2581"/>
    <w:rsid w:val="003B2746"/>
    <w:rsid w:val="003C0776"/>
    <w:rsid w:val="003F200B"/>
    <w:rsid w:val="0040651C"/>
    <w:rsid w:val="004B3BB3"/>
    <w:rsid w:val="004B51FE"/>
    <w:rsid w:val="004C19A7"/>
    <w:rsid w:val="004F2DF9"/>
    <w:rsid w:val="005304BC"/>
    <w:rsid w:val="00545BAB"/>
    <w:rsid w:val="00590DF4"/>
    <w:rsid w:val="005C6338"/>
    <w:rsid w:val="005D0127"/>
    <w:rsid w:val="00646654"/>
    <w:rsid w:val="00663457"/>
    <w:rsid w:val="006C787C"/>
    <w:rsid w:val="00707AFB"/>
    <w:rsid w:val="007534E3"/>
    <w:rsid w:val="00790D59"/>
    <w:rsid w:val="007B1BD4"/>
    <w:rsid w:val="007D5E77"/>
    <w:rsid w:val="00814BA3"/>
    <w:rsid w:val="008152B0"/>
    <w:rsid w:val="00843F2E"/>
    <w:rsid w:val="00883DD5"/>
    <w:rsid w:val="008A4D0D"/>
    <w:rsid w:val="008A6F95"/>
    <w:rsid w:val="00956D2F"/>
    <w:rsid w:val="009A5685"/>
    <w:rsid w:val="009D48DC"/>
    <w:rsid w:val="009E5784"/>
    <w:rsid w:val="00A45B31"/>
    <w:rsid w:val="00A87960"/>
    <w:rsid w:val="00A970EA"/>
    <w:rsid w:val="00B47D29"/>
    <w:rsid w:val="00B72AA9"/>
    <w:rsid w:val="00BA5853"/>
    <w:rsid w:val="00BB2C2E"/>
    <w:rsid w:val="00BC3422"/>
    <w:rsid w:val="00C34F1A"/>
    <w:rsid w:val="00C471A1"/>
    <w:rsid w:val="00C60935"/>
    <w:rsid w:val="00C65F09"/>
    <w:rsid w:val="00D153C1"/>
    <w:rsid w:val="00D2501B"/>
    <w:rsid w:val="00D33D8F"/>
    <w:rsid w:val="00D34D61"/>
    <w:rsid w:val="00D43CE6"/>
    <w:rsid w:val="00DA289F"/>
    <w:rsid w:val="00DB13BB"/>
    <w:rsid w:val="00E01818"/>
    <w:rsid w:val="00E0765F"/>
    <w:rsid w:val="00E21709"/>
    <w:rsid w:val="00E25793"/>
    <w:rsid w:val="00E60C18"/>
    <w:rsid w:val="00E6208D"/>
    <w:rsid w:val="00EC0809"/>
    <w:rsid w:val="00F53553"/>
    <w:rsid w:val="00FB38B4"/>
    <w:rsid w:val="01683DBE"/>
    <w:rsid w:val="04C07E5F"/>
    <w:rsid w:val="09E518F1"/>
    <w:rsid w:val="0E9D2627"/>
    <w:rsid w:val="12174B85"/>
    <w:rsid w:val="148733F6"/>
    <w:rsid w:val="19560A59"/>
    <w:rsid w:val="1C496371"/>
    <w:rsid w:val="21785B44"/>
    <w:rsid w:val="227F1494"/>
    <w:rsid w:val="24805784"/>
    <w:rsid w:val="25486BE3"/>
    <w:rsid w:val="26A93DBD"/>
    <w:rsid w:val="27F03E2A"/>
    <w:rsid w:val="28E8704B"/>
    <w:rsid w:val="290C75C1"/>
    <w:rsid w:val="29D47C5C"/>
    <w:rsid w:val="2A4822AF"/>
    <w:rsid w:val="2A691C72"/>
    <w:rsid w:val="2C025EDA"/>
    <w:rsid w:val="2E8D617B"/>
    <w:rsid w:val="32777821"/>
    <w:rsid w:val="39AE61CA"/>
    <w:rsid w:val="3A086BA9"/>
    <w:rsid w:val="3E7762B4"/>
    <w:rsid w:val="419C0824"/>
    <w:rsid w:val="44244964"/>
    <w:rsid w:val="4A2E2171"/>
    <w:rsid w:val="4FDE04E2"/>
    <w:rsid w:val="52DF6C8B"/>
    <w:rsid w:val="536B2CB8"/>
    <w:rsid w:val="57404164"/>
    <w:rsid w:val="5AD277FB"/>
    <w:rsid w:val="5E145AF2"/>
    <w:rsid w:val="5F412942"/>
    <w:rsid w:val="5FA47421"/>
    <w:rsid w:val="60785E58"/>
    <w:rsid w:val="61C73315"/>
    <w:rsid w:val="642A1E25"/>
    <w:rsid w:val="66803D95"/>
    <w:rsid w:val="66EC3CFC"/>
    <w:rsid w:val="6A5519A2"/>
    <w:rsid w:val="6C305B70"/>
    <w:rsid w:val="6CDE381E"/>
    <w:rsid w:val="6D8C75E7"/>
    <w:rsid w:val="74D51C3A"/>
    <w:rsid w:val="75D26FF0"/>
    <w:rsid w:val="7CB943DD"/>
    <w:rsid w:val="7D0F6EC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1"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qFormat/>
    <w:uiPriority w:val="0"/>
    <w:pPr>
      <w:keepLines/>
      <w:pageBreakBefore/>
      <w:spacing w:before="240" w:after="120"/>
      <w:jc w:val="center"/>
      <w:outlineLvl w:val="0"/>
    </w:pPr>
    <w:rPr>
      <w:rFonts w:eastAsia="黑体"/>
      <w:b/>
      <w:sz w:val="36"/>
    </w:rPr>
  </w:style>
  <w:style w:type="paragraph" w:styleId="3">
    <w:name w:val="Body Text"/>
    <w:basedOn w:val="1"/>
    <w:qFormat/>
    <w:uiPriority w:val="1"/>
    <w:rPr>
      <w:sz w:val="32"/>
      <w:szCs w:val="32"/>
    </w:rPr>
  </w:style>
  <w:style w:type="paragraph" w:styleId="4">
    <w:name w:val="Balloon Text"/>
    <w:basedOn w:val="1"/>
    <w:link w:val="11"/>
    <w:semiHidden/>
    <w:unhideWhenUsed/>
    <w:qFormat/>
    <w:uiPriority w:val="0"/>
    <w:rPr>
      <w:sz w:val="18"/>
      <w:szCs w:val="18"/>
    </w:rPr>
  </w:style>
  <w:style w:type="paragraph" w:styleId="5">
    <w:name w:val="footer"/>
    <w:basedOn w:val="1"/>
    <w:link w:val="10"/>
    <w:qFormat/>
    <w:uiPriority w:val="0"/>
    <w:pPr>
      <w:tabs>
        <w:tab w:val="center" w:pos="4153"/>
        <w:tab w:val="right" w:pos="8306"/>
      </w:tabs>
      <w:snapToGrid w:val="0"/>
      <w:jc w:val="left"/>
    </w:pPr>
    <w:rPr>
      <w:sz w:val="18"/>
      <w:szCs w:val="18"/>
    </w:rPr>
  </w:style>
  <w:style w:type="paragraph" w:styleId="6">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character" w:customStyle="1" w:styleId="9">
    <w:name w:val="页眉 Char"/>
    <w:basedOn w:val="8"/>
    <w:link w:val="6"/>
    <w:qFormat/>
    <w:uiPriority w:val="0"/>
    <w:rPr>
      <w:rFonts w:asciiTheme="minorHAnsi" w:hAnsiTheme="minorHAnsi" w:eastAsiaTheme="minorEastAsia" w:cstheme="minorBidi"/>
      <w:kern w:val="2"/>
      <w:sz w:val="18"/>
      <w:szCs w:val="18"/>
    </w:rPr>
  </w:style>
  <w:style w:type="character" w:customStyle="1" w:styleId="10">
    <w:name w:val="页脚 Char"/>
    <w:basedOn w:val="8"/>
    <w:link w:val="5"/>
    <w:qFormat/>
    <w:uiPriority w:val="0"/>
    <w:rPr>
      <w:rFonts w:asciiTheme="minorHAnsi" w:hAnsiTheme="minorHAnsi" w:eastAsiaTheme="minorEastAsia" w:cstheme="minorBidi"/>
      <w:kern w:val="2"/>
      <w:sz w:val="18"/>
      <w:szCs w:val="18"/>
    </w:rPr>
  </w:style>
  <w:style w:type="character" w:customStyle="1" w:styleId="11">
    <w:name w:val="批注框文本 Char"/>
    <w:basedOn w:val="8"/>
    <w:link w:val="4"/>
    <w:semiHidden/>
    <w:qFormat/>
    <w:uiPriority w:val="0"/>
    <w:rPr>
      <w:rFonts w:asciiTheme="minorHAnsi" w:hAnsiTheme="minorHAnsi" w:eastAsiaTheme="minorEastAsia" w:cstheme="minorBidi"/>
      <w:kern w:val="2"/>
      <w:sz w:val="18"/>
      <w:szCs w:val="18"/>
    </w:rPr>
  </w:style>
  <w:style w:type="paragraph" w:customStyle="1" w:styleId="12">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1087</Words>
  <Characters>1377</Characters>
  <Lines>11</Lines>
  <Paragraphs>3</Paragraphs>
  <TotalTime>9</TotalTime>
  <ScaleCrop>false</ScaleCrop>
  <LinksUpToDate>false</LinksUpToDate>
  <CharactersWithSpaces>1433</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2022-04-28T01:22:00Z</dcterms:created>
  <dc:creator>Mr.X</dc:creator>
  <cp:lastModifiedBy>张娜</cp:lastModifiedBy>
  <cp:lastPrinted>2022-04-28T02:25:00Z</cp:lastPrinted>
  <dcterms:modified xsi:type="dcterms:W3CDTF">2023-08-31T08:17:55Z</dcterms:modified>
  <cp:revision>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C386CDC4E78D41BAA469CE4E4F06B37B_13</vt:lpwstr>
  </property>
  <property fmtid="{D5CDD505-2E9C-101B-9397-08002B2CF9AE}" pid="4" name="commondata">
    <vt:lpwstr>eyJoZGlkIjoiMzIxYmMwMDJkYjZiMmFlYzdhY2YzYTliOWFhN2UxMzIifQ==</vt:lpwstr>
  </property>
</Properties>
</file>