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济宁公用瑞马新天地置业有限公司</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w:t>
      </w:r>
      <w:r>
        <w:rPr>
          <w:rFonts w:hint="default" w:ascii="Times New Roman" w:hAnsi="Times New Roman" w:eastAsia="方正小标宋简体" w:cs="Times New Roman"/>
          <w:b/>
          <w:bCs/>
          <w:kern w:val="0"/>
          <w:sz w:val="44"/>
          <w:szCs w:val="44"/>
          <w:lang w:val="zh-CN" w:eastAsia="zh-CN" w:bidi="zh-CN"/>
        </w:rPr>
        <w:t>中期</w:t>
      </w:r>
      <w:r>
        <w:rPr>
          <w:rFonts w:hint="default" w:ascii="Times New Roman" w:hAnsi="Times New Roman" w:eastAsia="方正小标宋简体" w:cs="Times New Roman"/>
          <w:b/>
          <w:bCs/>
          <w:kern w:val="0"/>
          <w:sz w:val="44"/>
          <w:szCs w:val="44"/>
          <w:lang w:val="zh-CN" w:bidi="zh-CN"/>
        </w:rPr>
        <w:t>财务等重大信息公开</w:t>
      </w:r>
    </w:p>
    <w:p>
      <w:pPr>
        <w:keepNext w:val="0"/>
        <w:keepLines w:val="0"/>
        <w:pageBreakBefore w:val="0"/>
        <w:kinsoku/>
        <w:wordWrap/>
        <w:overflowPunct/>
        <w:topLinePunct w:val="0"/>
        <w:autoSpaceDE/>
        <w:autoSpaceDN/>
        <w:bidi w:val="0"/>
        <w:adjustRightInd/>
        <w:spacing w:line="580" w:lineRule="exact"/>
        <w:rPr>
          <w:rFonts w:hint="default" w:ascii="Times New Roman" w:hAnsi="Times New Roman" w:eastAsia="方正小标宋简体" w:cs="Times New Roman"/>
          <w:b/>
          <w:bCs/>
          <w:sz w:val="32"/>
          <w:szCs w:val="32"/>
        </w:rPr>
      </w:pPr>
    </w:p>
    <w:p>
      <w:pPr>
        <w:keepNext w:val="0"/>
        <w:keepLines w:val="0"/>
        <w:pageBreakBefore w:val="0"/>
        <w:numPr>
          <w:ilvl w:val="0"/>
          <w:numId w:val="1"/>
        </w:numPr>
        <w:kinsoku/>
        <w:wordWrap/>
        <w:overflowPunct/>
        <w:topLinePunct w:val="0"/>
        <w:autoSpaceDE/>
        <w:autoSpaceDN/>
        <w:bidi w:val="0"/>
        <w:adjustRightInd/>
        <w:snapToGrid w:val="0"/>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公司基本情况 </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w:t>
      </w:r>
      <w:r>
        <w:rPr>
          <w:rFonts w:hint="default" w:ascii="Times New Roman" w:hAnsi="Times New Roman" w:eastAsia="方正楷体简体" w:cs="Times New Roman"/>
          <w:b/>
          <w:bCs/>
          <w:sz w:val="32"/>
          <w:szCs w:val="32"/>
          <w:lang w:val="en-US" w:eastAsia="zh-CN"/>
        </w:rPr>
        <w:t>一</w:t>
      </w:r>
      <w:r>
        <w:rPr>
          <w:rFonts w:hint="default" w:ascii="Times New Roman" w:hAnsi="Times New Roman" w:eastAsia="方正楷体简体" w:cs="Times New Roman"/>
          <w:b/>
          <w:bCs/>
          <w:sz w:val="32"/>
          <w:szCs w:val="32"/>
        </w:rPr>
        <w:t>）企业基本信息</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企业名称：济宁公用瑞马新天地置业有限公司</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注册地址：济宁高新区崇文大道与廖河路交汇处</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登记机关：济宁高新技术产业开发区行政审批服务局</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经营范围：</w:t>
      </w:r>
      <w:r>
        <w:rPr>
          <w:rFonts w:hint="default" w:ascii="Times New Roman" w:hAnsi="Times New Roman" w:eastAsia="方正仿宋简体" w:cs="Times New Roman"/>
          <w:b/>
          <w:bCs/>
          <w:kern w:val="2"/>
          <w:sz w:val="32"/>
          <w:szCs w:val="32"/>
          <w:lang w:val="en-US" w:eastAsia="zh-CN" w:bidi="ar-SA"/>
        </w:rPr>
        <w:t>房地产开发、销售、建材（不含木材）的销售，房屋租赁。（依法须经批准的项目，经相关部门批准后方可开展经营活动）企业类型：其他有限责任公司</w:t>
      </w:r>
    </w:p>
    <w:p>
      <w:pPr>
        <w:keepNext w:val="0"/>
        <w:keepLines w:val="0"/>
        <w:pageBreakBefore w:val="0"/>
        <w:kinsoku/>
        <w:wordWrap/>
        <w:overflowPunct/>
        <w:topLinePunct w:val="0"/>
        <w:autoSpaceDE/>
        <w:autoSpaceDN/>
        <w:bidi w:val="0"/>
        <w:adjustRightInd/>
        <w:spacing w:line="580" w:lineRule="exact"/>
        <w:ind w:firstLine="643" w:firstLineChars="200"/>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成立日期：2020</w:t>
      </w:r>
      <w:r>
        <w:rPr>
          <w:rFonts w:hint="eastAsia" w:ascii="Times New Roman" w:hAnsi="Times New Roman" w:eastAsia="方正仿宋简体" w:cs="Times New Roman"/>
          <w:b/>
          <w:bCs/>
          <w:sz w:val="32"/>
          <w:szCs w:val="32"/>
          <w:lang w:val="en-US" w:eastAsia="zh-CN"/>
        </w:rPr>
        <w:t>-0</w:t>
      </w:r>
      <w:r>
        <w:rPr>
          <w:rFonts w:hint="default" w:ascii="Times New Roman" w:hAnsi="Times New Roman" w:eastAsia="方正仿宋简体" w:cs="Times New Roman"/>
          <w:b/>
          <w:bCs/>
          <w:sz w:val="32"/>
          <w:szCs w:val="32"/>
        </w:rPr>
        <w:t>3</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17</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w:t>
      </w:r>
      <w:r>
        <w:rPr>
          <w:rFonts w:hint="default" w:ascii="Times New Roman" w:hAnsi="Times New Roman" w:eastAsia="方正楷体简体" w:cs="Times New Roman"/>
          <w:b/>
          <w:bCs/>
          <w:sz w:val="32"/>
          <w:szCs w:val="32"/>
          <w:lang w:val="en-US" w:eastAsia="zh-CN"/>
        </w:rPr>
        <w:t>二</w:t>
      </w:r>
      <w:r>
        <w:rPr>
          <w:rFonts w:hint="default" w:ascii="Times New Roman" w:hAnsi="Times New Roman" w:eastAsia="方正楷体简体" w:cs="Times New Roman"/>
          <w:b/>
          <w:bCs/>
          <w:sz w:val="32"/>
          <w:szCs w:val="32"/>
        </w:rPr>
        <w:t>）企业简介</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济宁公用瑞马新天地置业有限公司成立于2020年3月，现为山东公用置业集团有限公司控股子公司济宁公用瑞马置业有限公司全资子公司。</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公司自成立以来，按照市场化、专业化、规范化的管理模式，遵循“安全至上、服质量第一”的企业宗旨，内部设置了综合部、成本部、财务部、设计部、采购部、营销部、项目部等部门， 经营范围包括：房地产开发、销售、建材（不含木材）的销售，房屋租赁。（依法须经批准的项目，经相关部门批准后方可开展经营活动）。</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我公司具有专业的房地产开发经营及项目管理人员，目前共负责开发建设济宁高新区公安局北地块 。</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（三）机构设置</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公司设执行董事1名，经理1人；设6个部室、1个项目部，分别为：财务部、成本部、营销部、成本部、采购部、综合部、新天地项目部。</w:t>
      </w:r>
    </w:p>
    <w:p>
      <w:pPr>
        <w:keepNext w:val="0"/>
        <w:keepLines w:val="0"/>
        <w:pageBreakBefore w:val="0"/>
        <w:numPr>
          <w:ilvl w:val="0"/>
          <w:numId w:val="1"/>
        </w:numPr>
        <w:kinsoku/>
        <w:wordWrap/>
        <w:overflowPunct/>
        <w:topLinePunct w:val="0"/>
        <w:autoSpaceDE/>
        <w:autoSpaceDN/>
        <w:bidi w:val="0"/>
        <w:adjustRightInd/>
        <w:snapToGrid w:val="0"/>
        <w:spacing w:line="580" w:lineRule="exact"/>
        <w:ind w:firstLine="643" w:firstLineChars="200"/>
        <w:rPr>
          <w:rFonts w:hint="default" w:ascii="Times New Roman" w:hAnsi="Times New Roman" w:eastAsia="方正黑体简体" w:cs="Times New Roman"/>
          <w:b/>
          <w:sz w:val="32"/>
          <w:szCs w:val="32"/>
        </w:rPr>
      </w:pPr>
      <w:r>
        <w:rPr>
          <w:rFonts w:hint="default" w:ascii="Times New Roman" w:hAnsi="Times New Roman" w:eastAsia="方正黑体简体" w:cs="Times New Roman"/>
          <w:b/>
          <w:bCs/>
          <w:sz w:val="32"/>
          <w:szCs w:val="32"/>
        </w:rPr>
        <w:t>主要会计数据和财务指标</w:t>
      </w:r>
    </w:p>
    <w:tbl>
      <w:tblPr>
        <w:tblStyle w:val="7"/>
        <w:tblW w:w="9153" w:type="dxa"/>
        <w:jc w:val="center"/>
        <w:tblLayout w:type="fixed"/>
        <w:tblCellMar>
          <w:top w:w="0" w:type="dxa"/>
          <w:left w:w="108" w:type="dxa"/>
          <w:bottom w:w="0" w:type="dxa"/>
          <w:right w:w="108" w:type="dxa"/>
        </w:tblCellMar>
      </w:tblPr>
      <w:tblGrid>
        <w:gridCol w:w="1823"/>
        <w:gridCol w:w="1599"/>
        <w:gridCol w:w="2144"/>
        <w:gridCol w:w="2144"/>
        <w:gridCol w:w="1565"/>
      </w:tblGrid>
      <w:tr>
        <w:tblPrEx>
          <w:tblCellMar>
            <w:top w:w="0" w:type="dxa"/>
            <w:left w:w="108" w:type="dxa"/>
            <w:bottom w:w="0" w:type="dxa"/>
            <w:right w:w="108" w:type="dxa"/>
          </w:tblCellMar>
        </w:tblPrEx>
        <w:trPr>
          <w:trHeight w:val="615" w:hRule="atLeast"/>
          <w:jc w:val="center"/>
        </w:trPr>
        <w:tc>
          <w:tcPr>
            <w:tcW w:w="9153" w:type="dxa"/>
            <w:gridSpan w:val="5"/>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ind w:firstLine="6023" w:firstLineChars="2000"/>
              <w:jc w:val="left"/>
              <w:textAlignment w:val="center"/>
              <w:rPr>
                <w:rFonts w:hint="default" w:ascii="Times New Roman" w:hAnsi="Times New Roman" w:eastAsia="方正楷体简体" w:cs="Times New Roman"/>
                <w:b/>
                <w:bCs/>
                <w:kern w:val="0"/>
                <w:sz w:val="30"/>
                <w:szCs w:val="30"/>
                <w:lang w:val="en-US" w:eastAsia="zh-CN" w:bidi="zh-CN"/>
              </w:rPr>
            </w:pPr>
            <w:r>
              <w:rPr>
                <w:rFonts w:hint="default" w:ascii="Times New Roman" w:hAnsi="Times New Roman" w:eastAsia="方正楷体简体" w:cs="Times New Roman"/>
                <w:b/>
                <w:bCs/>
                <w:kern w:val="0"/>
                <w:sz w:val="30"/>
                <w:szCs w:val="30"/>
                <w:lang w:val="en-US" w:eastAsia="zh-CN" w:bidi="zh-CN"/>
              </w:rPr>
              <w:t xml:space="preserve">           单位：万元                        </w:t>
            </w:r>
          </w:p>
        </w:tc>
      </w:tr>
      <w:tr>
        <w:tblPrEx>
          <w:tblCellMar>
            <w:top w:w="0" w:type="dxa"/>
            <w:left w:w="108" w:type="dxa"/>
            <w:bottom w:w="0" w:type="dxa"/>
            <w:right w:w="108" w:type="dxa"/>
          </w:tblCellMar>
        </w:tblPrEx>
        <w:trPr>
          <w:trHeight w:val="600" w:hRule="atLeast"/>
          <w:jc w:val="center"/>
        </w:trPr>
        <w:tc>
          <w:tcPr>
            <w:tcW w:w="1823"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项</w:t>
            </w:r>
            <w:r>
              <w:rPr>
                <w:rFonts w:hint="eastAsia" w:ascii="Times New Roman" w:hAnsi="Times New Roman" w:eastAsia="方正仿宋简体" w:cs="Times New Roman"/>
                <w:b/>
                <w:bCs/>
                <w:kern w:val="0"/>
                <w:sz w:val="32"/>
                <w:szCs w:val="32"/>
                <w:vertAlign w:val="baseline"/>
                <w:lang w:val="en-US" w:eastAsia="zh-CN" w:bidi="zh-CN"/>
              </w:rPr>
              <w:t xml:space="preserve">  </w:t>
            </w:r>
            <w:r>
              <w:rPr>
                <w:rFonts w:hint="default" w:ascii="Times New Roman" w:hAnsi="Times New Roman" w:eastAsia="方正仿宋简体" w:cs="Times New Roman"/>
                <w:b/>
                <w:bCs/>
                <w:kern w:val="0"/>
                <w:sz w:val="32"/>
                <w:szCs w:val="32"/>
                <w:vertAlign w:val="baseline"/>
                <w:lang w:val="en-US" w:eastAsia="zh-CN" w:bidi="zh-CN"/>
              </w:rPr>
              <w:t>目</w:t>
            </w:r>
          </w:p>
        </w:tc>
        <w:tc>
          <w:tcPr>
            <w:tcW w:w="159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本期金额</w:t>
            </w:r>
          </w:p>
        </w:tc>
        <w:tc>
          <w:tcPr>
            <w:tcW w:w="2144"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年度预算目标</w:t>
            </w:r>
          </w:p>
        </w:tc>
        <w:tc>
          <w:tcPr>
            <w:tcW w:w="2144"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预算完成情况</w:t>
            </w:r>
          </w:p>
        </w:tc>
        <w:tc>
          <w:tcPr>
            <w:tcW w:w="156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上年同期</w:t>
            </w:r>
          </w:p>
        </w:tc>
      </w:tr>
      <w:tr>
        <w:tblPrEx>
          <w:tblCellMar>
            <w:top w:w="0" w:type="dxa"/>
            <w:left w:w="108" w:type="dxa"/>
            <w:bottom w:w="0" w:type="dxa"/>
            <w:right w:w="108" w:type="dxa"/>
          </w:tblCellMar>
        </w:tblPrEx>
        <w:trPr>
          <w:trHeight w:val="600" w:hRule="atLeast"/>
          <w:jc w:val="center"/>
        </w:trPr>
        <w:tc>
          <w:tcPr>
            <w:tcW w:w="182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营业总收入</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59,918.00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w:t>
            </w:r>
          </w:p>
        </w:tc>
        <w:tc>
          <w:tcPr>
            <w:tcW w:w="156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   </w:t>
            </w:r>
          </w:p>
        </w:tc>
      </w:tr>
      <w:tr>
        <w:tblPrEx>
          <w:tblCellMar>
            <w:top w:w="0" w:type="dxa"/>
            <w:left w:w="108" w:type="dxa"/>
            <w:bottom w:w="0" w:type="dxa"/>
            <w:right w:w="108" w:type="dxa"/>
          </w:tblCellMar>
        </w:tblPrEx>
        <w:trPr>
          <w:trHeight w:val="600" w:hRule="atLeast"/>
          <w:jc w:val="center"/>
        </w:trPr>
        <w:tc>
          <w:tcPr>
            <w:tcW w:w="182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营业总成本</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51,975.00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258.00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20145.35%</w:t>
            </w:r>
          </w:p>
        </w:tc>
        <w:tc>
          <w:tcPr>
            <w:tcW w:w="156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-206.00 </w:t>
            </w:r>
          </w:p>
        </w:tc>
      </w:tr>
      <w:tr>
        <w:tblPrEx>
          <w:tblCellMar>
            <w:top w:w="0" w:type="dxa"/>
            <w:left w:w="108" w:type="dxa"/>
            <w:bottom w:w="0" w:type="dxa"/>
            <w:right w:w="108" w:type="dxa"/>
          </w:tblCellMar>
        </w:tblPrEx>
        <w:trPr>
          <w:trHeight w:val="600" w:hRule="atLeast"/>
          <w:jc w:val="center"/>
        </w:trPr>
        <w:tc>
          <w:tcPr>
            <w:tcW w:w="182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利润总额</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6,102.00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-258.00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-2365.12%</w:t>
            </w:r>
          </w:p>
        </w:tc>
        <w:tc>
          <w:tcPr>
            <w:tcW w:w="156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-206.00 </w:t>
            </w:r>
          </w:p>
        </w:tc>
      </w:tr>
      <w:tr>
        <w:tblPrEx>
          <w:tblCellMar>
            <w:top w:w="0" w:type="dxa"/>
            <w:left w:w="108" w:type="dxa"/>
            <w:bottom w:w="0" w:type="dxa"/>
            <w:right w:w="108" w:type="dxa"/>
          </w:tblCellMar>
        </w:tblPrEx>
        <w:trPr>
          <w:trHeight w:val="600" w:hRule="atLeast"/>
          <w:jc w:val="center"/>
        </w:trPr>
        <w:tc>
          <w:tcPr>
            <w:tcW w:w="182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净利润</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5,597.00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-258.00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-2169.38%</w:t>
            </w:r>
          </w:p>
        </w:tc>
        <w:tc>
          <w:tcPr>
            <w:tcW w:w="156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-206.00 </w:t>
            </w:r>
          </w:p>
        </w:tc>
      </w:tr>
      <w:tr>
        <w:tblPrEx>
          <w:tblCellMar>
            <w:top w:w="0" w:type="dxa"/>
            <w:left w:w="108" w:type="dxa"/>
            <w:bottom w:w="0" w:type="dxa"/>
            <w:right w:w="108" w:type="dxa"/>
          </w:tblCellMar>
        </w:tblPrEx>
        <w:trPr>
          <w:trHeight w:val="600" w:hRule="atLeast"/>
          <w:jc w:val="center"/>
        </w:trPr>
        <w:tc>
          <w:tcPr>
            <w:tcW w:w="182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资产总额</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42,181.00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104,929.44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40.20%</w:t>
            </w:r>
          </w:p>
        </w:tc>
        <w:tc>
          <w:tcPr>
            <w:tcW w:w="156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95,041.00 </w:t>
            </w:r>
          </w:p>
        </w:tc>
      </w:tr>
      <w:tr>
        <w:tblPrEx>
          <w:tblCellMar>
            <w:top w:w="0" w:type="dxa"/>
            <w:left w:w="108" w:type="dxa"/>
            <w:bottom w:w="0" w:type="dxa"/>
            <w:right w:w="108" w:type="dxa"/>
          </w:tblCellMar>
        </w:tblPrEx>
        <w:trPr>
          <w:trHeight w:val="600" w:hRule="atLeast"/>
          <w:jc w:val="center"/>
        </w:trPr>
        <w:tc>
          <w:tcPr>
            <w:tcW w:w="182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负债总额</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29,210.00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97,813.44 </w:t>
            </w:r>
          </w:p>
        </w:tc>
        <w:tc>
          <w:tcPr>
            <w:tcW w:w="2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29.86%</w:t>
            </w:r>
          </w:p>
        </w:tc>
        <w:tc>
          <w:tcPr>
            <w:tcW w:w="156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87,562.00 </w:t>
            </w:r>
          </w:p>
        </w:tc>
      </w:tr>
      <w:tr>
        <w:tblPrEx>
          <w:tblCellMar>
            <w:top w:w="0" w:type="dxa"/>
            <w:left w:w="108" w:type="dxa"/>
            <w:bottom w:w="0" w:type="dxa"/>
            <w:right w:w="108" w:type="dxa"/>
          </w:tblCellMar>
        </w:tblPrEx>
        <w:trPr>
          <w:trHeight w:val="600" w:hRule="atLeast"/>
          <w:jc w:val="center"/>
        </w:trPr>
        <w:tc>
          <w:tcPr>
            <w:tcW w:w="1823"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所有者权益</w:t>
            </w:r>
          </w:p>
        </w:tc>
        <w:tc>
          <w:tcPr>
            <w:tcW w:w="159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12,971.00 </w:t>
            </w:r>
          </w:p>
        </w:tc>
        <w:tc>
          <w:tcPr>
            <w:tcW w:w="21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7,116.00 </w:t>
            </w:r>
          </w:p>
        </w:tc>
        <w:tc>
          <w:tcPr>
            <w:tcW w:w="21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182.28%</w:t>
            </w:r>
          </w:p>
        </w:tc>
        <w:tc>
          <w:tcPr>
            <w:tcW w:w="1565"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580" w:lineRule="exact"/>
              <w:jc w:val="center"/>
              <w:textAlignment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7,479.00 </w:t>
            </w:r>
          </w:p>
        </w:tc>
      </w:tr>
    </w:tbl>
    <w:p>
      <w:pPr>
        <w:keepNext w:val="0"/>
        <w:keepLines w:val="0"/>
        <w:pageBreakBefore w:val="0"/>
        <w:kinsoku/>
        <w:wordWrap/>
        <w:overflowPunct/>
        <w:topLinePunct w:val="0"/>
        <w:autoSpaceDE/>
        <w:autoSpaceDN/>
        <w:bidi w:val="0"/>
        <w:adjustRightInd/>
        <w:snapToGrid w:val="0"/>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三、财务预算执行情况</w:t>
      </w:r>
    </w:p>
    <w:p>
      <w:pPr>
        <w:keepNext w:val="0"/>
        <w:keepLines w:val="0"/>
        <w:pageBreakBefore w:val="0"/>
        <w:kinsoku/>
        <w:wordWrap/>
        <w:overflowPunct/>
        <w:topLinePunct w:val="0"/>
        <w:autoSpaceDE/>
        <w:autoSpaceDN/>
        <w:bidi w:val="0"/>
        <w:adjustRightInd/>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仿宋简体" w:cs="Times New Roman"/>
          <w:b/>
          <w:bCs/>
          <w:sz w:val="32"/>
          <w:szCs w:val="32"/>
          <w:lang w:val="en-US" w:eastAsia="zh-CN"/>
        </w:rPr>
        <w:t>2023年上半年</w:t>
      </w:r>
      <w:r>
        <w:rPr>
          <w:rFonts w:hint="default" w:ascii="Times New Roman" w:hAnsi="Times New Roman" w:eastAsia="方正仿宋简体" w:cs="Times New Roman"/>
          <w:b/>
          <w:bCs/>
          <w:sz w:val="32"/>
          <w:szCs w:val="32"/>
        </w:rPr>
        <w:t>累计实现营业收入</w:t>
      </w:r>
      <w:r>
        <w:rPr>
          <w:rFonts w:hint="default" w:ascii="Times New Roman" w:hAnsi="Times New Roman" w:eastAsia="方正仿宋简体" w:cs="Times New Roman"/>
          <w:b/>
          <w:bCs/>
          <w:sz w:val="32"/>
          <w:szCs w:val="32"/>
          <w:lang w:val="en-US" w:eastAsia="zh-CN"/>
        </w:rPr>
        <w:t>5.99亿</w:t>
      </w:r>
      <w:r>
        <w:rPr>
          <w:rFonts w:hint="default" w:ascii="Times New Roman" w:hAnsi="Times New Roman" w:eastAsia="方正仿宋简体" w:cs="Times New Roman"/>
          <w:b/>
          <w:bCs/>
          <w:sz w:val="32"/>
          <w:szCs w:val="32"/>
        </w:rPr>
        <w:t>元；累计实现利润总额</w:t>
      </w:r>
      <w:r>
        <w:rPr>
          <w:rFonts w:hint="default" w:ascii="Times New Roman" w:hAnsi="Times New Roman" w:eastAsia="方正仿宋简体" w:cs="Times New Roman"/>
          <w:b/>
          <w:bCs/>
          <w:sz w:val="32"/>
          <w:szCs w:val="32"/>
          <w:lang w:val="en-US" w:eastAsia="zh-CN"/>
        </w:rPr>
        <w:t>6102</w:t>
      </w:r>
      <w:r>
        <w:rPr>
          <w:rFonts w:hint="default" w:ascii="Times New Roman" w:hAnsi="Times New Roman" w:eastAsia="方正仿宋简体" w:cs="Times New Roman"/>
          <w:b/>
          <w:bCs/>
          <w:sz w:val="32"/>
          <w:szCs w:val="32"/>
        </w:rPr>
        <w:t>万元，较全年预算目标-258万元</w:t>
      </w:r>
      <w:r>
        <w:rPr>
          <w:rFonts w:hint="default" w:ascii="Times New Roman" w:hAnsi="Times New Roman" w:eastAsia="方正仿宋简体" w:cs="Times New Roman"/>
          <w:b/>
          <w:bCs/>
          <w:sz w:val="32"/>
          <w:szCs w:val="32"/>
          <w:highlight w:val="none"/>
        </w:rPr>
        <w:t>完</w:t>
      </w:r>
      <w:bookmarkStart w:id="0" w:name="_GoBack"/>
      <w:bookmarkEnd w:id="0"/>
      <w:r>
        <w:rPr>
          <w:rFonts w:hint="default" w:ascii="Times New Roman" w:hAnsi="Times New Roman" w:eastAsia="方正仿宋简体" w:cs="Times New Roman"/>
          <w:b/>
          <w:bCs/>
          <w:sz w:val="32"/>
          <w:szCs w:val="32"/>
          <w:highlight w:val="none"/>
        </w:rPr>
        <w:t>成</w:t>
      </w:r>
      <w:r>
        <w:rPr>
          <w:rFonts w:hint="default" w:ascii="Times New Roman" w:hAnsi="Times New Roman" w:eastAsia="方正仿宋简体" w:cs="Times New Roman"/>
          <w:b/>
          <w:bCs/>
          <w:sz w:val="32"/>
          <w:szCs w:val="32"/>
          <w:highlight w:val="none"/>
          <w:lang w:val="en-US" w:eastAsia="zh-CN"/>
        </w:rPr>
        <w:t>-2365.12</w:t>
      </w:r>
      <w:r>
        <w:rPr>
          <w:rFonts w:hint="default" w:ascii="Times New Roman" w:hAnsi="Times New Roman" w:eastAsia="方正仿宋简体" w:cs="Times New Roman"/>
          <w:b/>
          <w:bCs/>
          <w:sz w:val="32"/>
          <w:szCs w:val="32"/>
          <w:highlight w:val="none"/>
        </w:rPr>
        <w:t>%；</w:t>
      </w: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月底资产负债率</w:t>
      </w:r>
      <w:r>
        <w:rPr>
          <w:rFonts w:hint="default" w:ascii="Times New Roman" w:hAnsi="Times New Roman" w:eastAsia="方正仿宋简体" w:cs="Times New Roman"/>
          <w:b/>
          <w:bCs/>
          <w:sz w:val="32"/>
          <w:szCs w:val="32"/>
          <w:lang w:val="en-US" w:eastAsia="zh-CN"/>
        </w:rPr>
        <w:t>69.25</w:t>
      </w:r>
      <w:r>
        <w:rPr>
          <w:rFonts w:hint="default" w:ascii="Times New Roman" w:hAnsi="Times New Roman" w:eastAsia="方正仿宋简体" w:cs="Times New Roman"/>
          <w:b/>
          <w:bCs/>
          <w:sz w:val="32"/>
          <w:szCs w:val="32"/>
        </w:rPr>
        <w:t>%，比去年同期的</w:t>
      </w:r>
      <w:r>
        <w:rPr>
          <w:rFonts w:hint="default" w:ascii="Times New Roman" w:hAnsi="Times New Roman" w:eastAsia="方正仿宋简体" w:cs="Times New Roman"/>
          <w:b/>
          <w:bCs/>
          <w:sz w:val="32"/>
          <w:szCs w:val="32"/>
          <w:lang w:val="en-US" w:eastAsia="zh-CN"/>
        </w:rPr>
        <w:t>92.13</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eastAsia="zh-CN"/>
        </w:rPr>
        <w:t>降低</w:t>
      </w:r>
      <w:r>
        <w:rPr>
          <w:rFonts w:hint="default" w:ascii="Times New Roman" w:hAnsi="Times New Roman" w:eastAsia="方正仿宋简体" w:cs="Times New Roman"/>
          <w:b/>
          <w:bCs/>
          <w:sz w:val="32"/>
          <w:szCs w:val="32"/>
        </w:rPr>
        <w:t>了</w:t>
      </w:r>
      <w:r>
        <w:rPr>
          <w:rFonts w:hint="default" w:ascii="Times New Roman" w:hAnsi="Times New Roman" w:eastAsia="方正仿宋简体" w:cs="Times New Roman"/>
          <w:b/>
          <w:bCs/>
          <w:sz w:val="32"/>
          <w:szCs w:val="32"/>
          <w:lang w:val="en-US" w:eastAsia="zh-CN"/>
        </w:rPr>
        <w:t>22.88</w:t>
      </w:r>
      <w:r>
        <w:rPr>
          <w:rFonts w:hint="default" w:ascii="Times New Roman" w:hAnsi="Times New Roman" w:eastAsia="方正仿宋简体" w:cs="Times New Roman"/>
          <w:b/>
          <w:bCs/>
          <w:sz w:val="32"/>
          <w:szCs w:val="32"/>
        </w:rPr>
        <w:t>个百分点。</w:t>
      </w:r>
      <w:r>
        <w:rPr>
          <w:rFonts w:hint="default" w:ascii="Times New Roman" w:hAnsi="Times New Roman" w:eastAsia="方正仿宋简体" w:cs="Times New Roman"/>
          <w:b/>
          <w:bCs/>
          <w:sz w:val="32"/>
          <w:szCs w:val="32"/>
          <w:lang w:eastAsia="zh-CN"/>
        </w:rPr>
        <w:t>主要是</w:t>
      </w:r>
      <w:r>
        <w:rPr>
          <w:rFonts w:hint="default" w:ascii="Times New Roman" w:hAnsi="Times New Roman" w:eastAsia="方正仿宋简体" w:cs="Times New Roman"/>
          <w:b/>
          <w:bCs/>
          <w:sz w:val="32"/>
          <w:szCs w:val="32"/>
          <w:lang w:val="en-US" w:eastAsia="zh-CN"/>
        </w:rPr>
        <w:t>6月底集中上房结转收入。</w:t>
      </w: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28E8704B"/>
    <w:rsid w:val="00023E53"/>
    <w:rsid w:val="00064C10"/>
    <w:rsid w:val="000B768B"/>
    <w:rsid w:val="000F4906"/>
    <w:rsid w:val="001048D2"/>
    <w:rsid w:val="001225CF"/>
    <w:rsid w:val="0016636E"/>
    <w:rsid w:val="00173818"/>
    <w:rsid w:val="001E70D3"/>
    <w:rsid w:val="001F0930"/>
    <w:rsid w:val="00243895"/>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96B43"/>
    <w:rsid w:val="006C787C"/>
    <w:rsid w:val="007534E3"/>
    <w:rsid w:val="007B1BD4"/>
    <w:rsid w:val="007D5E77"/>
    <w:rsid w:val="00814BA3"/>
    <w:rsid w:val="008152B0"/>
    <w:rsid w:val="00843F2E"/>
    <w:rsid w:val="00883DD5"/>
    <w:rsid w:val="008A4D0D"/>
    <w:rsid w:val="008A6F95"/>
    <w:rsid w:val="00956D2F"/>
    <w:rsid w:val="009A5685"/>
    <w:rsid w:val="009B08AA"/>
    <w:rsid w:val="009D48DC"/>
    <w:rsid w:val="009E5784"/>
    <w:rsid w:val="00A45B31"/>
    <w:rsid w:val="00A87960"/>
    <w:rsid w:val="00B47D29"/>
    <w:rsid w:val="00B72AA9"/>
    <w:rsid w:val="00B81E8D"/>
    <w:rsid w:val="00BA5853"/>
    <w:rsid w:val="00C34F1A"/>
    <w:rsid w:val="00C471A1"/>
    <w:rsid w:val="00C60935"/>
    <w:rsid w:val="00C65F09"/>
    <w:rsid w:val="00D153C1"/>
    <w:rsid w:val="00D2501B"/>
    <w:rsid w:val="00D33D8F"/>
    <w:rsid w:val="00D34D61"/>
    <w:rsid w:val="00D43CE6"/>
    <w:rsid w:val="00DA289F"/>
    <w:rsid w:val="00DB13BB"/>
    <w:rsid w:val="00E01818"/>
    <w:rsid w:val="00E0765F"/>
    <w:rsid w:val="00E25793"/>
    <w:rsid w:val="00E60C18"/>
    <w:rsid w:val="00E6208D"/>
    <w:rsid w:val="00EC0809"/>
    <w:rsid w:val="00F53553"/>
    <w:rsid w:val="031048F7"/>
    <w:rsid w:val="04C07E5F"/>
    <w:rsid w:val="06D01345"/>
    <w:rsid w:val="075B5193"/>
    <w:rsid w:val="0DD16F1A"/>
    <w:rsid w:val="19560A59"/>
    <w:rsid w:val="1C496371"/>
    <w:rsid w:val="1C8F2AE8"/>
    <w:rsid w:val="1FCD7DFB"/>
    <w:rsid w:val="21785B44"/>
    <w:rsid w:val="25486BE3"/>
    <w:rsid w:val="26A93DBD"/>
    <w:rsid w:val="27F03E2A"/>
    <w:rsid w:val="28716ED4"/>
    <w:rsid w:val="28E8704B"/>
    <w:rsid w:val="290C75C1"/>
    <w:rsid w:val="29D47C5C"/>
    <w:rsid w:val="2A4822AF"/>
    <w:rsid w:val="2BEB3EE9"/>
    <w:rsid w:val="2E8D617B"/>
    <w:rsid w:val="2FD26275"/>
    <w:rsid w:val="32777821"/>
    <w:rsid w:val="334308AF"/>
    <w:rsid w:val="38EB45BC"/>
    <w:rsid w:val="39AE61CA"/>
    <w:rsid w:val="3A9F2A89"/>
    <w:rsid w:val="3D910776"/>
    <w:rsid w:val="3DF23407"/>
    <w:rsid w:val="3EA017DC"/>
    <w:rsid w:val="3FBD419A"/>
    <w:rsid w:val="419C0824"/>
    <w:rsid w:val="44244964"/>
    <w:rsid w:val="44B91965"/>
    <w:rsid w:val="455B3491"/>
    <w:rsid w:val="4EEF2F58"/>
    <w:rsid w:val="52DF6C8B"/>
    <w:rsid w:val="52E1663F"/>
    <w:rsid w:val="536B2CB8"/>
    <w:rsid w:val="53E47F37"/>
    <w:rsid w:val="55845488"/>
    <w:rsid w:val="561A16D8"/>
    <w:rsid w:val="57404164"/>
    <w:rsid w:val="576B5048"/>
    <w:rsid w:val="5AD277FB"/>
    <w:rsid w:val="5E145AF2"/>
    <w:rsid w:val="5F412942"/>
    <w:rsid w:val="5FA47421"/>
    <w:rsid w:val="60785E58"/>
    <w:rsid w:val="61B5226F"/>
    <w:rsid w:val="63D71709"/>
    <w:rsid w:val="66792F89"/>
    <w:rsid w:val="66EC3CFC"/>
    <w:rsid w:val="6A5519A2"/>
    <w:rsid w:val="6C305B70"/>
    <w:rsid w:val="6C8851EE"/>
    <w:rsid w:val="6CDE381E"/>
    <w:rsid w:val="6D8C75E7"/>
    <w:rsid w:val="6D9143ED"/>
    <w:rsid w:val="6F481423"/>
    <w:rsid w:val="71D022E5"/>
    <w:rsid w:val="75D26FF0"/>
    <w:rsid w:val="797E6DEA"/>
    <w:rsid w:val="7ACE35B6"/>
    <w:rsid w:val="7D0F6ECA"/>
    <w:rsid w:val="7F7370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paragraph" w:styleId="4">
    <w:name w:val="Balloon Text"/>
    <w:basedOn w:val="1"/>
    <w:link w:val="11"/>
    <w:semiHidden/>
    <w:unhideWhenUsed/>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rFonts w:asciiTheme="minorHAnsi" w:hAnsiTheme="minorHAnsi" w:eastAsiaTheme="minorEastAsia" w:cstheme="minorBidi"/>
      <w:kern w:val="2"/>
      <w:sz w:val="18"/>
      <w:szCs w:val="18"/>
    </w:rPr>
  </w:style>
  <w:style w:type="character" w:customStyle="1" w:styleId="10">
    <w:name w:val="页脚 Char"/>
    <w:basedOn w:val="8"/>
    <w:link w:val="5"/>
    <w:qFormat/>
    <w:uiPriority w:val="0"/>
    <w:rPr>
      <w:rFonts w:asciiTheme="minorHAnsi" w:hAnsiTheme="minorHAnsi" w:eastAsiaTheme="minorEastAsia" w:cstheme="minorBidi"/>
      <w:kern w:val="2"/>
      <w:sz w:val="18"/>
      <w:szCs w:val="18"/>
    </w:rPr>
  </w:style>
  <w:style w:type="character" w:customStyle="1" w:styleId="11">
    <w:name w:val="批注框文本 Char"/>
    <w:basedOn w:val="8"/>
    <w:link w:val="4"/>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723</Words>
  <Characters>954</Characters>
  <Lines>7</Lines>
  <Paragraphs>2</Paragraphs>
  <TotalTime>3</TotalTime>
  <ScaleCrop>false</ScaleCrop>
  <LinksUpToDate>false</LinksUpToDate>
  <CharactersWithSpaces>1033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2023-08-31T08:16:23Z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CA52CEF447534F55AA8E1D4F81AD3A63_13</vt:lpwstr>
  </property>
  <property fmtid="{D5CDD505-2E9C-101B-9397-08002B2CF9AE}" pid="4" name="commondata">
    <vt:lpwstr>eyJoZGlkIjoiMzIxYmMwMDJkYjZiMmFlYzdhY2YzYTliOWFhN2UxMzIifQ==</vt:lpwstr>
  </property>
</Properties>
</file>