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  <w:lang w:val="en-US" w:eastAsia="zh-CN"/>
        </w:rPr>
        <w:t>嘉祥公用水务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 xml:space="preserve">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2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年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中期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财务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等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重大信息公开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楷体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楷体简体" w:cs="Times New Roman"/>
          <w:b/>
          <w:bCs/>
          <w:kern w:val="2"/>
          <w:sz w:val="32"/>
          <w:szCs w:val="32"/>
          <w:lang w:val="en-US" w:eastAsia="zh-CN" w:bidi="ar-SA"/>
        </w:rPr>
        <w:t>（一）基本信息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1.公司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名称：嘉祥公用水务有限公司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法定代表人：张联峰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注册地址：山东省济宁市嘉祥县获麟街249号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经营范围：一般项目：承接总公司工程建设业务；供应用仪器仪表销售（除依法须经批准的项目外，凭营业执照依法自主开展经营活动）许可项目：自来水生产与供应；污水处理及其再生利用；各类工程建设活动（依法须经批准的项目，经相关部门批准后方可开展经营活动，具体经营项目以审批结果为准）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/>
        </w:rPr>
      </w:pPr>
      <w:r>
        <w:rPr>
          <w:rFonts w:hint="default" w:ascii="Times New Roman" w:hAnsi="Times New Roman" w:eastAsia="方正楷体简体" w:cs="Times New Roman"/>
          <w:b/>
          <w:bCs/>
          <w:lang w:val="en-US"/>
        </w:rPr>
        <w:t>（二）公司简介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嘉祥公用水务有限公司2014年10月新设合并成立，隶属山东公用控股下属的山东公用水务集团有限公司，是集城市供水、城乡污水处理、市政工程设计与施工、水质检测于一体的综合性水务企业。现有职工11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人，设有12个生产部门和职能部室，公司注册资金2730万元，日供水能力8万吨，污水处理能力8万吨，服务城区人口16万余人。公司秉承“祥瑞之水嘉泽万家、真心诚心服务祥城百姓”的服务宗旨，不断改革创新，优化服务环境，严把工程质量，建设智慧水务，社会满意度得到了显著提升，彰显国企担当，取得了较好的社会效益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二、主要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会计数据和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财务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指标（截至到2023年6月30日）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7228" w:firstLineChars="2400"/>
        <w:textAlignment w:val="auto"/>
        <w:rPr>
          <w:rFonts w:hint="default" w:ascii="Times New Roman" w:hAnsi="Times New Roman" w:eastAsia="方正楷体简体" w:cs="Times New Roman"/>
          <w:b/>
          <w:bCs/>
          <w:kern w:val="0"/>
          <w:sz w:val="30"/>
          <w:szCs w:val="30"/>
          <w:lang w:val="en-US" w:eastAsia="zh-CN" w:bidi="zh-CN"/>
        </w:rPr>
      </w:pPr>
      <w:r>
        <w:rPr>
          <w:rFonts w:hint="eastAsia" w:ascii="Times New Roman" w:hAnsi="Times New Roman" w:eastAsia="方正楷体简体" w:cs="Times New Roman"/>
          <w:b/>
          <w:bCs/>
          <w:kern w:val="0"/>
          <w:sz w:val="30"/>
          <w:szCs w:val="30"/>
          <w:lang w:val="en-US" w:eastAsia="zh-CN" w:bidi="zh-CN"/>
        </w:rPr>
        <w:t>单</w:t>
      </w:r>
      <w:r>
        <w:rPr>
          <w:rFonts w:hint="default" w:ascii="Times New Roman" w:hAnsi="Times New Roman" w:eastAsia="方正楷体简体" w:cs="Times New Roman"/>
          <w:b/>
          <w:bCs/>
          <w:kern w:val="0"/>
          <w:sz w:val="30"/>
          <w:szCs w:val="30"/>
          <w:lang w:val="en-US" w:eastAsia="zh-CN" w:bidi="zh-CN"/>
        </w:rPr>
        <w:t>位：万元</w:t>
      </w:r>
    </w:p>
    <w:tbl>
      <w:tblPr>
        <w:tblStyle w:val="5"/>
        <w:tblW w:w="0" w:type="auto"/>
        <w:tblInd w:w="1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13"/>
        <w:gridCol w:w="48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营业总收入</w:t>
            </w:r>
          </w:p>
        </w:tc>
        <w:tc>
          <w:tcPr>
            <w:tcW w:w="48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5426.88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营业总成本</w:t>
            </w:r>
          </w:p>
        </w:tc>
        <w:tc>
          <w:tcPr>
            <w:tcW w:w="48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5105.64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利润总额</w:t>
            </w:r>
          </w:p>
        </w:tc>
        <w:tc>
          <w:tcPr>
            <w:tcW w:w="48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735.80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净利润</w:t>
            </w:r>
          </w:p>
        </w:tc>
        <w:tc>
          <w:tcPr>
            <w:tcW w:w="48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723.90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资产总额</w:t>
            </w:r>
          </w:p>
        </w:tc>
        <w:tc>
          <w:tcPr>
            <w:tcW w:w="48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55192.41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负债总额</w:t>
            </w:r>
          </w:p>
        </w:tc>
        <w:tc>
          <w:tcPr>
            <w:tcW w:w="48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40052.81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24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所有者权益</w:t>
            </w:r>
          </w:p>
        </w:tc>
        <w:tc>
          <w:tcPr>
            <w:tcW w:w="48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15139.60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三、财务预算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营业收入：本年预算8400万元，截至到2023年6月30日，完成64.61%。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利润总额：本年预算1002万元，截至到2023年6月30日，完成73.43%。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四、本季度内发生的重大事项及对企业的影响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。</w:t>
      </w:r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jMmY4YTczNzBiOTI0YmViYjA3ZDFiYTIwNDUwYTEifQ=="/>
  </w:docVars>
  <w:rsids>
    <w:rsidRoot w:val="13CC2444"/>
    <w:rsid w:val="007E5379"/>
    <w:rsid w:val="00AC6AB4"/>
    <w:rsid w:val="00C455E3"/>
    <w:rsid w:val="00EA422D"/>
    <w:rsid w:val="017771F1"/>
    <w:rsid w:val="017B1E83"/>
    <w:rsid w:val="05275618"/>
    <w:rsid w:val="06DF3B7E"/>
    <w:rsid w:val="07C35693"/>
    <w:rsid w:val="09336391"/>
    <w:rsid w:val="09740EEA"/>
    <w:rsid w:val="09EC724C"/>
    <w:rsid w:val="0A8E1F88"/>
    <w:rsid w:val="0BAE0408"/>
    <w:rsid w:val="0D6D5D2C"/>
    <w:rsid w:val="0DE819AF"/>
    <w:rsid w:val="0FCB01C3"/>
    <w:rsid w:val="13CC2444"/>
    <w:rsid w:val="180477A4"/>
    <w:rsid w:val="194D1260"/>
    <w:rsid w:val="19560A59"/>
    <w:rsid w:val="1C496371"/>
    <w:rsid w:val="23BC0D15"/>
    <w:rsid w:val="29D47C5C"/>
    <w:rsid w:val="2A4822AF"/>
    <w:rsid w:val="2D9F5C7A"/>
    <w:rsid w:val="312B227C"/>
    <w:rsid w:val="3A01028D"/>
    <w:rsid w:val="3C87702A"/>
    <w:rsid w:val="3DC931B8"/>
    <w:rsid w:val="419C0824"/>
    <w:rsid w:val="44244964"/>
    <w:rsid w:val="4F175D72"/>
    <w:rsid w:val="562C577E"/>
    <w:rsid w:val="57404164"/>
    <w:rsid w:val="591C68FA"/>
    <w:rsid w:val="5E145AF2"/>
    <w:rsid w:val="5F372BCB"/>
    <w:rsid w:val="5F412942"/>
    <w:rsid w:val="5FA37C7E"/>
    <w:rsid w:val="60785E58"/>
    <w:rsid w:val="6D7103D9"/>
    <w:rsid w:val="6D805836"/>
    <w:rsid w:val="7451111C"/>
    <w:rsid w:val="75D26FF0"/>
    <w:rsid w:val="775A30EF"/>
    <w:rsid w:val="7B6E27F8"/>
    <w:rsid w:val="7FC2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qFormat/>
    <w:uiPriority w:val="1"/>
    <w:rPr>
      <w:sz w:val="32"/>
      <w:szCs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621</Words>
  <Characters>708</Characters>
  <Lines>3</Lines>
  <Paragraphs>1</Paragraphs>
  <TotalTime>2</TotalTime>
  <ScaleCrop>false</ScaleCrop>
  <LinksUpToDate>false</LinksUpToDate>
  <CharactersWithSpaces>715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张娜</cp:lastModifiedBy>
  <cp:lastPrinted>2023-08-11T00:00:00Z</cp:lastPrinted>
  <dcterms:modified xsi:type="dcterms:W3CDTF">2023-08-31T07:17:07Z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551BDD8A17C7487DA24AF02AB9FA51E4</vt:lpwstr>
  </property>
</Properties>
</file>